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DE1098">
      <w:pPr>
        <w:rPr>
          <w:rFonts w:hint="eastAsia" w:ascii="黑体" w:hAnsi="黑体" w:eastAsia="黑体"/>
          <w:sz w:val="32"/>
          <w:szCs w:val="32"/>
        </w:rPr>
      </w:pPr>
    </w:p>
    <w:p w14:paraId="7E2F62AB">
      <w:pPr>
        <w:jc w:val="center"/>
        <w:rPr>
          <w:rFonts w:hint="eastAsia" w:ascii="方正小标宋_GBK" w:hAnsi="宋体" w:eastAsia="方正小标宋_GBK"/>
          <w:sz w:val="44"/>
          <w:szCs w:val="44"/>
        </w:rPr>
      </w:pPr>
    </w:p>
    <w:p w14:paraId="7AE936F3">
      <w:pPr>
        <w:jc w:val="center"/>
        <w:rPr>
          <w:rFonts w:hint="eastAsia" w:ascii="方正小标宋_GBK" w:hAnsi="宋体" w:eastAsia="方正小标宋_GBK"/>
          <w:sz w:val="44"/>
          <w:szCs w:val="44"/>
        </w:rPr>
      </w:pPr>
    </w:p>
    <w:p w14:paraId="5FEDF9CB">
      <w:pPr>
        <w:jc w:val="center"/>
        <w:rPr>
          <w:rFonts w:hint="eastAsia" w:ascii="方正小标宋_GBK" w:hAnsi="宋体" w:eastAsia="方正小标宋_GBK"/>
          <w:sz w:val="44"/>
          <w:szCs w:val="44"/>
        </w:rPr>
      </w:pPr>
    </w:p>
    <w:p w14:paraId="4794C1C7">
      <w:pPr>
        <w:jc w:val="center"/>
        <w:rPr>
          <w:rFonts w:hint="eastAsia" w:ascii="方正小标宋_GBK" w:hAnsi="宋体" w:eastAsia="方正小标宋_GBK"/>
          <w:sz w:val="44"/>
          <w:szCs w:val="44"/>
        </w:rPr>
      </w:pPr>
    </w:p>
    <w:p w14:paraId="2FB3E0A1">
      <w:pPr>
        <w:spacing w:line="640" w:lineRule="exact"/>
        <w:jc w:val="center"/>
        <w:rPr>
          <w:rFonts w:hint="eastAsia" w:ascii="方正小标宋_GBK" w:hAnsi="宋体" w:eastAsia="方正小标宋_GBK"/>
          <w:sz w:val="44"/>
          <w:szCs w:val="44"/>
        </w:rPr>
      </w:pPr>
      <w:r>
        <w:rPr>
          <w:rFonts w:hint="eastAsia" w:ascii="方正小标宋_GBK" w:hAnsi="宋体" w:eastAsia="方正小标宋_GBK"/>
          <w:sz w:val="44"/>
          <w:szCs w:val="44"/>
        </w:rPr>
        <w:t>吉木萨尔县融媒体中心</w:t>
      </w:r>
    </w:p>
    <w:p w14:paraId="55AD8026">
      <w:pPr>
        <w:spacing w:line="640" w:lineRule="exact"/>
        <w:jc w:val="center"/>
        <w:rPr>
          <w:rFonts w:hint="eastAsia" w:ascii="方正小标宋_GBK" w:hAnsi="宋体" w:eastAsia="方正小标宋_GBK"/>
          <w:sz w:val="44"/>
          <w:szCs w:val="44"/>
        </w:rPr>
      </w:pPr>
      <w:r>
        <w:rPr>
          <w:rFonts w:hint="eastAsia" w:ascii="方正小标宋_GBK" w:hAnsi="宋体" w:eastAsia="方正小标宋_GBK"/>
          <w:sz w:val="44"/>
          <w:szCs w:val="44"/>
        </w:rPr>
        <w:t>2025年度部门决算公开说明</w:t>
      </w:r>
      <w:bookmarkStart w:id="0" w:name="_GoBack"/>
      <w:bookmarkEnd w:id="0"/>
      <w:r>
        <w:rPr>
          <w:rFonts w:hint="eastAsia" w:ascii="方正小标宋_GBK" w:hAnsi="宋体" w:eastAsia="方正小标宋_GBK"/>
          <w:sz w:val="44"/>
          <w:szCs w:val="44"/>
        </w:rPr>
        <w:t/>
      </w:r>
    </w:p>
    <w:p w14:paraId="7C1A23FE">
      <w:pPr>
        <w:spacing w:line="600" w:lineRule="exact"/>
        <w:jc w:val="center"/>
        <w:rPr>
          <w:rFonts w:hint="eastAsia" w:ascii="仿宋_GB2312" w:hAnsi="仿宋_GB2312" w:eastAsia="仿宋_GB2312" w:cs="仿宋_GB2312"/>
          <w:bCs/>
          <w:kern w:val="0"/>
          <w:sz w:val="32"/>
          <w:szCs w:val="32"/>
        </w:rPr>
      </w:pPr>
      <w:r>
        <w:rPr>
          <w:rFonts w:hint="eastAsia" w:ascii="方正小标宋_GBK" w:hAnsi="宋体" w:eastAsia="方正小标宋_GBK"/>
          <w:sz w:val="44"/>
          <w:szCs w:val="44"/>
        </w:rPr>
        <w:br w:type="page"/>
      </w:r>
      <w:r>
        <w:rPr>
          <w:rFonts w:hint="eastAsia" w:ascii="仿宋_GB2312" w:hAnsi="仿宋_GB2312" w:eastAsia="仿宋_GB2312" w:cs="仿宋_GB2312"/>
          <w:b/>
          <w:kern w:val="0"/>
          <w:sz w:val="36"/>
          <w:szCs w:val="36"/>
        </w:rPr>
        <w:t>目  录</w:t>
      </w:r>
    </w:p>
    <w:p w14:paraId="11E3C096">
      <w:pPr>
        <w:pStyle w:val="6"/>
        <w:tabs>
          <w:tab w:val="right" w:leader="dot" w:pos="8306"/>
        </w:tabs>
        <w:spacing w:line="60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"_Toc31918"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14:paraId="695FF0F6">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"_Toc2898"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14:paraId="20AC0F98">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"_Toc1387" </w:instrText>
      </w:r>
      <w:r>
        <w:fldChar w:fldCharType="separate"/>
      </w:r>
      <w:r>
        <w:rPr>
          <w:rFonts w:hint="eastAsia" w:ascii="仿宋_GB2312" w:hAnsi="仿宋_GB2312" w:eastAsia="仿宋_GB2312" w:cs="仿宋_GB2312"/>
          <w:bCs/>
          <w:kern w:val="0"/>
          <w:sz w:val="32"/>
          <w:szCs w:val="32"/>
        </w:rPr>
        <w:t>二、机构设置</w:t>
      </w:r>
      <w:r>
        <w:rPr>
          <w:rFonts w:hint="eastAsia" w:ascii="仿宋_GB2312" w:hAnsi="仿宋_GB2312" w:eastAsia="仿宋_GB2312" w:cs="仿宋_GB2312"/>
          <w:bCs/>
          <w:kern w:val="0"/>
          <w:sz w:val="32"/>
          <w:szCs w:val="32"/>
        </w:rPr>
        <w:fldChar w:fldCharType="end"/>
      </w:r>
    </w:p>
    <w:p w14:paraId="03DF0839">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"_Toc7559"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14:paraId="1E4B298F">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"_Toc6321"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14:paraId="448604E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"_Toc6311"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14:paraId="6477D7D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"_Toc20629"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14:paraId="64A0CBA4">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"_Toc7371"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14:paraId="07B13FA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"_Toc18905"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14:paraId="35E4954F">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"_Toc1165" </w:instrText>
      </w:r>
      <w:r>
        <w:fldChar w:fldCharType="separate"/>
      </w:r>
      <w:r>
        <w:rPr>
          <w:rFonts w:hint="eastAsia" w:ascii="仿宋_GB2312" w:hAnsi="仿宋_GB2312" w:eastAsia="仿宋_GB2312" w:cs="仿宋_GB2312"/>
          <w:sz w:val="32"/>
          <w:szCs w:val="32"/>
        </w:rPr>
        <w:t>（一）一般公共预算财政拨款支出决算总体情况</w:t>
      </w:r>
      <w:r>
        <w:rPr>
          <w:rFonts w:hint="eastAsia" w:ascii="仿宋_GB2312" w:hAnsi="仿宋_GB2312" w:eastAsia="仿宋_GB2312" w:cs="仿宋_GB2312"/>
          <w:sz w:val="32"/>
          <w:szCs w:val="32"/>
        </w:rPr>
        <w:fldChar w:fldCharType="end"/>
      </w:r>
    </w:p>
    <w:p w14:paraId="1D40B9CA">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"_Toc27147" </w:instrText>
      </w:r>
      <w:r>
        <w:fldChar w:fldCharType="separate"/>
      </w:r>
      <w:r>
        <w:rPr>
          <w:rFonts w:hint="eastAsia" w:ascii="仿宋_GB2312" w:hAnsi="仿宋_GB2312" w:eastAsia="仿宋_GB2312" w:cs="仿宋_GB2312"/>
          <w:sz w:val="32"/>
          <w:szCs w:val="32"/>
        </w:rPr>
        <w:t>（二）一般公共预算财政拨款支出决算结构情况</w:t>
      </w:r>
      <w:r>
        <w:rPr>
          <w:rFonts w:hint="eastAsia" w:ascii="仿宋_GB2312" w:hAnsi="仿宋_GB2312" w:eastAsia="仿宋_GB2312" w:cs="仿宋_GB2312"/>
          <w:sz w:val="32"/>
          <w:szCs w:val="32"/>
        </w:rPr>
        <w:fldChar w:fldCharType="end"/>
      </w:r>
    </w:p>
    <w:p w14:paraId="572435CD">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"_Toc10037" </w:instrText>
      </w:r>
      <w:r>
        <w:fldChar w:fldCharType="separate"/>
      </w:r>
      <w:r>
        <w:rPr>
          <w:rFonts w:hint="eastAsia" w:ascii="仿宋_GB2312" w:hAnsi="仿宋_GB2312" w:eastAsia="仿宋_GB2312" w:cs="仿宋_GB2312"/>
          <w:sz w:val="32"/>
          <w:szCs w:val="32"/>
        </w:rPr>
        <w:t>（三）一般公共预算财政拨款支出决算具体情况</w:t>
      </w:r>
      <w:r>
        <w:rPr>
          <w:rFonts w:hint="eastAsia" w:ascii="仿宋_GB2312" w:hAnsi="仿宋_GB2312" w:eastAsia="仿宋_GB2312" w:cs="仿宋_GB2312"/>
          <w:sz w:val="32"/>
          <w:szCs w:val="32"/>
        </w:rPr>
        <w:fldChar w:fldCharType="end"/>
      </w:r>
    </w:p>
    <w:p w14:paraId="2330D4E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"_Toc23415"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14:paraId="2363D305">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"_Toc7523" </w:instrText>
      </w:r>
      <w:r>
        <w:fldChar w:fldCharType="separate"/>
      </w:r>
      <w:r>
        <w:rPr>
          <w:rFonts w:hint="eastAsia" w:ascii="仿宋_GB2312" w:hAnsi="仿宋_GB2312" w:eastAsia="仿宋_GB2312" w:cs="仿宋_GB2312"/>
          <w:bCs/>
          <w:kern w:val="0"/>
          <w:sz w:val="32"/>
          <w:szCs w:val="32"/>
        </w:rPr>
        <w:t>七、政府性基金预算财政拨款收入支出决算情况说明</w:t>
      </w:r>
      <w:r>
        <w:rPr>
          <w:rFonts w:hint="eastAsia" w:ascii="仿宋_GB2312" w:hAnsi="仿宋_GB2312" w:eastAsia="仿宋_GB2312" w:cs="仿宋_GB2312"/>
          <w:bCs/>
          <w:kern w:val="0"/>
          <w:sz w:val="32"/>
          <w:szCs w:val="32"/>
        </w:rPr>
        <w:fldChar w:fldCharType="end"/>
      </w:r>
    </w:p>
    <w:p w14:paraId="47A33664">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"_Toc5563" </w:instrText>
      </w:r>
      <w:r>
        <w:fldChar w:fldCharType="separate"/>
      </w:r>
      <w:r>
        <w:rPr>
          <w:rFonts w:hint="eastAsia" w:ascii="仿宋_GB2312" w:hAnsi="仿宋_GB2312" w:eastAsia="仿宋_GB2312" w:cs="仿宋_GB2312"/>
          <w:bCs/>
          <w:kern w:val="0"/>
          <w:sz w:val="32"/>
          <w:szCs w:val="32"/>
        </w:rPr>
        <w:t>八、国有资本经营预算财政拨款收入支出决算情况说明</w:t>
      </w:r>
      <w:r>
        <w:rPr>
          <w:rFonts w:hint="eastAsia" w:ascii="仿宋_GB2312" w:hAnsi="仿宋_GB2312" w:eastAsia="仿宋_GB2312" w:cs="仿宋_GB2312"/>
          <w:bCs/>
          <w:kern w:val="0"/>
          <w:sz w:val="32"/>
          <w:szCs w:val="32"/>
        </w:rPr>
        <w:fldChar w:fldCharType="end"/>
      </w:r>
    </w:p>
    <w:p w14:paraId="5B6A706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"_Toc9161" </w:instrText>
      </w:r>
      <w:r>
        <w:fldChar w:fldCharType="separate"/>
      </w:r>
      <w:r>
        <w:rPr>
          <w:rFonts w:hint="eastAsia" w:ascii="仿宋_GB2312" w:hAnsi="仿宋_GB2312" w:eastAsia="仿宋_GB2312" w:cs="仿宋_GB2312"/>
          <w:bCs/>
          <w:kern w:val="0"/>
          <w:sz w:val="32"/>
          <w:szCs w:val="32"/>
        </w:rPr>
        <w:t>九、财政拨款“三公”经费支出决算情况说明</w:t>
      </w:r>
      <w:r>
        <w:rPr>
          <w:rFonts w:hint="eastAsia" w:ascii="仿宋_GB2312" w:hAnsi="仿宋_GB2312" w:eastAsia="仿宋_GB2312" w:cs="仿宋_GB2312"/>
          <w:bCs/>
          <w:kern w:val="0"/>
          <w:sz w:val="32"/>
          <w:szCs w:val="32"/>
        </w:rPr>
        <w:fldChar w:fldCharType="end"/>
      </w:r>
    </w:p>
    <w:p w14:paraId="1D67ADC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"_Toc16395" </w:instrText>
      </w:r>
      <w:r>
        <w:fldChar w:fldCharType="separate"/>
      </w:r>
      <w:r>
        <w:rPr>
          <w:rFonts w:hint="eastAsia" w:ascii="仿宋_GB2312" w:hAnsi="仿宋_GB2312" w:eastAsia="仿宋_GB2312" w:cs="仿宋_GB2312"/>
          <w:bCs/>
          <w:kern w:val="0"/>
          <w:sz w:val="32"/>
          <w:szCs w:val="32"/>
        </w:rPr>
        <w:t>十、其他重要事项的情况说明</w:t>
      </w:r>
      <w:r>
        <w:rPr>
          <w:rFonts w:hint="eastAsia" w:ascii="仿宋_GB2312" w:hAnsi="仿宋_GB2312" w:eastAsia="仿宋_GB2312" w:cs="仿宋_GB2312"/>
          <w:bCs/>
          <w:kern w:val="0"/>
          <w:sz w:val="32"/>
          <w:szCs w:val="32"/>
        </w:rPr>
        <w:fldChar w:fldCharType="end"/>
      </w:r>
    </w:p>
    <w:p w14:paraId="2D81D31B">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"_Toc21748" </w:instrText>
      </w:r>
      <w:r>
        <w:fldChar w:fldCharType="separate"/>
      </w:r>
      <w:r>
        <w:rPr>
          <w:rFonts w:hint="eastAsia" w:ascii="仿宋_GB2312" w:hAnsi="仿宋_GB2312" w:eastAsia="仿宋_GB2312" w:cs="仿宋_GB2312"/>
          <w:sz w:val="32"/>
          <w:szCs w:val="32"/>
        </w:rPr>
        <w:t>（一）机关运行经费及公用经费支出情况</w:t>
      </w:r>
      <w:r>
        <w:rPr>
          <w:rFonts w:hint="eastAsia" w:ascii="仿宋_GB2312" w:hAnsi="仿宋_GB2312" w:eastAsia="仿宋_GB2312" w:cs="仿宋_GB2312"/>
          <w:sz w:val="32"/>
          <w:szCs w:val="32"/>
        </w:rPr>
        <w:fldChar w:fldCharType="end"/>
      </w:r>
    </w:p>
    <w:p w14:paraId="688C6E4D">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"_Toc25177"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14:paraId="6E70625A">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"_Toc31294"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14:paraId="687A037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"_Toc17664"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14:paraId="2BE4C8B9">
      <w:pPr>
        <w:spacing w:line="600" w:lineRule="exact"/>
        <w:rPr>
          <w:rFonts w:eastAsia="仿宋_GB2312"/>
        </w:rPr>
      </w:pPr>
      <w:r>
        <w:rPr>
          <w:rFonts w:hint="eastAsia" w:ascii="仿宋_GB2312" w:hAnsi="仿宋_GB2312" w:eastAsia="仿宋_GB2312" w:cs="仿宋_GB2312"/>
          <w:sz w:val="32"/>
          <w:szCs w:val="32"/>
        </w:rPr>
        <w:t>十二、</w:t>
      </w:r>
      <w:r>
        <w:rPr>
          <w:rFonts w:ascii="仿宋_GB2312" w:hAnsi="仿宋_GB2312" w:eastAsia="仿宋_GB2312" w:cs="仿宋_GB2312"/>
          <w:sz w:val="32"/>
          <w:szCs w:val="32"/>
        </w:rPr>
        <w:t>其他需说明的事项</w:t>
      </w:r>
    </w:p>
    <w:p w14:paraId="02F533C8">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"_Toc30038"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14:paraId="13D03994">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"_Toc6831"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14:paraId="363DA5E8">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"_Toc3845"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14:paraId="7612762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"_Toc11927"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14:paraId="3D4C3500">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"_Toc7443"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14:paraId="2F9A11B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"_Toc24884"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14:paraId="44A5CB8E">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"_Toc16518"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14:paraId="277EE406">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"_Toc20514"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14:paraId="49FE8110">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"_Toc18055" </w:instrText>
      </w:r>
      <w:r>
        <w:fldChar w:fldCharType="separate"/>
      </w:r>
      <w:r>
        <w:rPr>
          <w:rFonts w:hint="eastAsia" w:ascii="仿宋_GB2312" w:hAnsi="仿宋_GB2312" w:eastAsia="仿宋_GB2312" w:cs="仿宋_GB2312"/>
          <w:bCs/>
          <w:kern w:val="0"/>
          <w:sz w:val="32"/>
          <w:szCs w:val="32"/>
        </w:rPr>
        <w:t>七、《政府性基金预算财政拨款收入支出决算表》</w:t>
      </w:r>
      <w:r>
        <w:rPr>
          <w:rFonts w:hint="eastAsia" w:ascii="仿宋_GB2312" w:hAnsi="仿宋_GB2312" w:eastAsia="仿宋_GB2312" w:cs="仿宋_GB2312"/>
          <w:bCs/>
          <w:kern w:val="0"/>
          <w:sz w:val="32"/>
          <w:szCs w:val="32"/>
        </w:rPr>
        <w:fldChar w:fldCharType="end"/>
      </w:r>
    </w:p>
    <w:p w14:paraId="43AA1635">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"_Toc10719" </w:instrText>
      </w:r>
      <w:r>
        <w:fldChar w:fldCharType="separate"/>
      </w:r>
      <w:r>
        <w:rPr>
          <w:rFonts w:hint="eastAsia" w:ascii="仿宋_GB2312" w:hAnsi="仿宋_GB2312" w:eastAsia="仿宋_GB2312" w:cs="仿宋_GB2312"/>
          <w:bCs/>
          <w:kern w:val="0"/>
          <w:sz w:val="32"/>
          <w:szCs w:val="32"/>
        </w:rPr>
        <w:t>八、《国有资本经营预算财政拨款收入支出决算表》</w:t>
      </w:r>
      <w:r>
        <w:rPr>
          <w:rFonts w:hint="eastAsia" w:ascii="仿宋_GB2312" w:hAnsi="仿宋_GB2312" w:eastAsia="仿宋_GB2312" w:cs="仿宋_GB2312"/>
          <w:bCs/>
          <w:kern w:val="0"/>
          <w:sz w:val="32"/>
          <w:szCs w:val="32"/>
        </w:rPr>
        <w:fldChar w:fldCharType="end"/>
      </w:r>
    </w:p>
    <w:p w14:paraId="5D4DF260">
      <w:pPr>
        <w:pStyle w:val="7"/>
        <w:tabs>
          <w:tab w:val="right" w:leader="dot" w:pos="8306"/>
        </w:tabs>
        <w:spacing w:line="600" w:lineRule="exact"/>
        <w:ind w:left="0" w:leftChars="0"/>
        <w:rPr>
          <w:rFonts w:hint="eastAsia" w:ascii="黑体" w:hAnsi="黑体" w:eastAsia="黑体" w:cs="宋体"/>
          <w:bCs/>
          <w:kern w:val="0"/>
          <w:sz w:val="32"/>
          <w:szCs w:val="32"/>
        </w:rPr>
      </w:pPr>
      <w:r>
        <w:fldChar w:fldCharType="begin"/>
      </w:r>
      <w:r>
        <w:instrText xml:space="preserve"> HYPERLINK \l "_Toc18861" </w:instrText>
      </w:r>
      <w:r>
        <w:fldChar w:fldCharType="separate"/>
      </w:r>
      <w:r>
        <w:rPr>
          <w:rFonts w:hint="eastAsia" w:ascii="仿宋_GB2312" w:hAnsi="仿宋_GB2312" w:eastAsia="仿宋_GB2312" w:cs="仿宋_GB2312"/>
          <w:bCs/>
          <w:kern w:val="0"/>
          <w:sz w:val="32"/>
          <w:szCs w:val="32"/>
        </w:rPr>
        <w:t>九、《财政拨款“三公”经费支出决算表》</w:t>
      </w:r>
      <w:r>
        <w:rPr>
          <w:rFonts w:hint="eastAsia" w:ascii="仿宋_GB2312" w:hAnsi="仿宋_GB2312" w:eastAsia="仿宋_GB2312" w:cs="仿宋_GB2312"/>
          <w:bCs/>
          <w:kern w:val="0"/>
          <w:sz w:val="32"/>
          <w:szCs w:val="32"/>
        </w:rPr>
        <w:fldChar w:fldCharType="end"/>
      </w:r>
      <w:r>
        <w:rPr>
          <w:rFonts w:hint="eastAsia" w:ascii="仿宋_GB2312" w:hAnsi="仿宋_GB2312" w:eastAsia="仿宋_GB2312" w:cs="仿宋_GB2312"/>
          <w:sz w:val="32"/>
          <w:szCs w:val="32"/>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全面贯彻广播电视、新闻宣传事业建设发展的路线方针，政策及国家法律法规的落实。</w:t>
      </w:r>
    </w:p>
    <w:p>
      <w:pPr>
        <w:spacing w:line="640" w:lineRule="exact"/>
        <w:ind w:firstLine="640"/>
        <w:jc w:val="both"/>
        <w:outlineLvl w:val="2"/>
      </w:pPr>
      <w:r>
        <w:rPr>
          <w:rFonts w:ascii="黑体" w:hAnsi="黑体" w:eastAsia="黑体"/>
          <w:sz w:val="32"/>
        </w:rPr>
        <w:t>二、机构设置</w:t>
      </w:r>
    </w:p>
    <w:p>
      <w:pPr>
        <w:spacing w:line="580" w:lineRule="exact"/>
        <w:ind w:firstLine="640"/>
        <w:jc w:val="both"/>
      </w:pPr>
      <w:r>
        <w:rPr>
          <w:rFonts w:ascii="仿宋_GB2312" w:hAnsi="仿宋_GB2312" w:eastAsia="仿宋_GB2312"/>
          <w:sz w:val="32"/>
        </w:rPr>
        <w:t>吉木萨尔县融媒体中心无下属预算单位。</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2025年度收入总计1,321.08万元，</w:t>
      </w:r>
      <w:r>
        <w:rPr>
          <w:rFonts w:ascii="仿宋_GB2312" w:hAnsi="仿宋_GB2312" w:eastAsia="仿宋_GB2312"/>
          <w:b w:val="0"/>
          <w:sz w:val="32"/>
        </w:rPr>
        <w:t>其中：本年收入合计1,318.08万元，使用非财政拨款结余（含专用结余）0.00万元，年初结转和结余3.00万元。</w:t>
      </w:r>
    </w:p>
    <w:p>
      <w:pPr>
        <w:spacing w:line="580" w:lineRule="exact"/>
        <w:ind w:firstLine="640"/>
        <w:jc w:val="both"/>
      </w:pPr>
      <w:r>
        <w:rPr>
          <w:rFonts w:ascii="仿宋_GB2312" w:hAnsi="仿宋_GB2312" w:eastAsia="仿宋_GB2312"/>
          <w:b/>
          <w:sz w:val="32"/>
        </w:rPr>
        <w:t>2025年度支出总计1,321.08万元，</w:t>
      </w:r>
      <w:r>
        <w:rPr>
          <w:rFonts w:ascii="仿宋_GB2312" w:hAnsi="仿宋_GB2312" w:eastAsia="仿宋_GB2312"/>
          <w:b w:val="0"/>
          <w:sz w:val="32"/>
        </w:rPr>
        <w:t>其中：本年支出合计1,309.41万元，结余分配0.00万元，年末结转和结余11.67万元。</w:t>
      </w:r>
    </w:p>
    <w:p>
      <w:pPr>
        <w:spacing w:line="580" w:lineRule="exact"/>
        <w:ind w:firstLine="640"/>
        <w:jc w:val="both"/>
      </w:pPr>
      <w:r>
        <w:rPr>
          <w:rFonts w:ascii="仿宋_GB2312" w:hAnsi="仿宋_GB2312" w:eastAsia="仿宋_GB2312"/>
          <w:b/>
          <w:sz w:val="32"/>
        </w:rPr>
        <w:t>收入支出总体与上年相比，</w:t>
      </w:r>
      <w:r>
        <w:rPr>
          <w:rFonts w:ascii="仿宋_GB2312" w:hAnsi="仿宋_GB2312" w:eastAsia="仿宋_GB2312"/>
          <w:b w:val="0"/>
          <w:sz w:val="32"/>
        </w:rPr>
        <w:t>减少837.83万元，下降38.81%，主要原因是：本年其他收入较上年减少。</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本年收入1,318.08万元，</w:t>
      </w:r>
      <w:r>
        <w:rPr>
          <w:rFonts w:ascii="仿宋_GB2312" w:hAnsi="仿宋_GB2312" w:eastAsia="仿宋_GB2312"/>
          <w:b w:val="0"/>
          <w:sz w:val="32"/>
        </w:rPr>
        <w:t>其中：财政拨款收入1,243.51万元，占94.34%；上级补助收入0.00万元，占0.00%；事业收入0.00万元，占0.00%；经营收入0.00万元，占0.00%；附属单位上缴收入0.00万元，占0.00%；其他收入74.57万元，占5.66%。</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本年支出1,309.41万元，</w:t>
      </w:r>
      <w:r>
        <w:rPr>
          <w:rFonts w:ascii="仿宋_GB2312" w:hAnsi="仿宋_GB2312" w:eastAsia="仿宋_GB2312"/>
          <w:b w:val="0"/>
          <w:sz w:val="32"/>
        </w:rPr>
        <w:t>其中：基本支出1,011.61万元，占77.26%；项目支出297.79万元，占22.74%；上缴上级支出0.00万元，占0.00%；经营支出0.00万元，占0.00%；对附属单位补助支出0.00万元，占0.00%。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2025年度财政拨款收入总计1,243.51万元，</w:t>
      </w:r>
      <w:r>
        <w:rPr>
          <w:rFonts w:ascii="仿宋_GB2312" w:hAnsi="仿宋_GB2312" w:eastAsia="仿宋_GB2312"/>
          <w:b w:val="0"/>
          <w:sz w:val="32"/>
        </w:rPr>
        <w:t>其中：年初财政拨款结转和结余0.00万元，本年财政拨款收入1,243.51万元。</w:t>
      </w:r>
      <w:r>
        <w:rPr>
          <w:rFonts w:ascii="仿宋_GB2312" w:hAnsi="仿宋_GB2312" w:eastAsia="仿宋_GB2312"/>
          <w:b/>
          <w:sz w:val="32"/>
        </w:rPr>
        <w:t>财政拨款支出总计1,243.51万元，</w:t>
      </w:r>
      <w:r>
        <w:rPr>
          <w:rFonts w:ascii="仿宋_GB2312" w:hAnsi="仿宋_GB2312" w:eastAsia="仿宋_GB2312"/>
          <w:b w:val="0"/>
          <w:sz w:val="32"/>
        </w:rPr>
        <w:t>其中：年末财政拨款结转和结余0.00万元，本年财政拨款支出1,243.51万元。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增加202.45万元，增长19.45%，主要原因是：本年在职人员工资调整，相关人员经费增加，增加自治区文艺扶持奖励等项目经费，少数民族和边疆地区文化安全补助资金较上年增加。</w:t>
      </w:r>
      <w:r>
        <w:rPr>
          <w:rFonts w:ascii="仿宋_GB2312" w:hAnsi="仿宋_GB2312" w:eastAsia="仿宋_GB2312"/>
          <w:b/>
          <w:sz w:val="32"/>
        </w:rPr>
        <w:t>与年初预算相比，</w:t>
      </w:r>
      <w:r>
        <w:rPr>
          <w:rFonts w:ascii="仿宋_GB2312" w:hAnsi="仿宋_GB2312" w:eastAsia="仿宋_GB2312"/>
          <w:b w:val="0"/>
          <w:sz w:val="32"/>
        </w:rPr>
        <w:t>年初预算数1,049.80万元，决算数1,243.51万元，预决算差异率18.45%，主要原因是：年中追加人员工资、社保、公积金基数调增部分资金，追加吉木萨尔县线上文旅推介会工作经费，导致预决算存在差异。</w:t>
      </w:r>
    </w:p>
    <w:p>
      <w:pPr>
        <w:spacing w:line="640" w:lineRule="exact"/>
        <w:ind w:firstLine="640"/>
        <w:jc w:val="both"/>
        <w:outlineLvl w:val="2"/>
      </w:pPr>
      <w:r>
        <w:rPr>
          <w:rFonts w:ascii="黑体" w:hAnsi="黑体" w:eastAsia="黑体"/>
          <w:sz w:val="32"/>
        </w:rPr>
        <w:t>五、一般公共预算财政拨款支出决算情况说明</w:t>
      </w:r>
    </w:p>
    <w:p>
      <w:pPr>
        <w:spacing w:line="580" w:lineRule="exact"/>
        <w:ind w:firstLine="640"/>
        <w:jc w:val="both"/>
      </w:pPr>
      <w:r>
        <w:rPr>
          <w:rFonts w:ascii="仿宋_GB2312" w:hAnsi="仿宋_GB2312" w:eastAsia="仿宋_GB2312"/>
          <w:b w:val="0"/>
          <w:sz w:val="32"/>
        </w:rPr>
        <w:t>按照党中央、国务院关于党政机关习惯过紧日子的有关要求，厉行节约办一切事业，严控一般性支出。同时坚持有保有压，优化支出结构，提高资金使用效率，合理保障文化旅游体育与传媒支出、社会保障和就业支出、卫生健康支出、住房保障等重点支出，体现在有关支出科目中。</w:t>
      </w:r>
    </w:p>
    <w:p>
      <w:pPr>
        <w:spacing w:line="580" w:lineRule="exact"/>
        <w:ind w:firstLine="640"/>
        <w:jc w:val="both"/>
      </w:pPr>
      <w:r>
        <w:rPr>
          <w:rFonts w:ascii="仿宋_GB2312" w:hAnsi="仿宋_GB2312" w:eastAsia="仿宋_GB2312"/>
          <w:b w:val="0"/>
          <w:sz w:val="32"/>
        </w:rPr>
        <w:t>按照支出功能分类，文化旅游体育与传媒支出（类）广播电视（款）行政运行（项）的支出占本年财政拨款支出总额的比重最高，2025年度决算数为710.25万元，占比57.12%，主要用于人员工资福利、日常公用经费。</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2025年度一般公共预算财政拨款支出1,175.11万元，</w:t>
      </w:r>
      <w:r>
        <w:rPr>
          <w:rFonts w:ascii="仿宋_GB2312" w:hAnsi="仿宋_GB2312" w:eastAsia="仿宋_GB2312"/>
          <w:b w:val="0"/>
          <w:sz w:val="32"/>
        </w:rPr>
        <w:t>占本年支出合计的89.74%。</w:t>
      </w:r>
      <w:r>
        <w:rPr>
          <w:rFonts w:ascii="仿宋_GB2312" w:hAnsi="仿宋_GB2312" w:eastAsia="仿宋_GB2312"/>
          <w:b/>
          <w:sz w:val="32"/>
        </w:rPr>
        <w:t>与上年相比，</w:t>
      </w:r>
      <w:r>
        <w:rPr>
          <w:rFonts w:ascii="仿宋_GB2312" w:hAnsi="仿宋_GB2312" w:eastAsia="仿宋_GB2312"/>
          <w:b w:val="0"/>
          <w:sz w:val="32"/>
        </w:rPr>
        <w:t>增加134.05万元，增长12.88%，主要原因是：本年在职人员工资调整，相关人员经费增加，增加自治区文艺扶持奖励等项目经费，少数民族和边疆地区文化安全补助资金较上年增加。</w:t>
      </w:r>
      <w:r>
        <w:rPr>
          <w:rFonts w:ascii="仿宋_GB2312" w:hAnsi="仿宋_GB2312" w:eastAsia="仿宋_GB2312"/>
          <w:b/>
          <w:sz w:val="32"/>
        </w:rPr>
        <w:t>与年初预算相比，</w:t>
      </w:r>
      <w:r>
        <w:rPr>
          <w:rFonts w:ascii="仿宋_GB2312" w:hAnsi="仿宋_GB2312" w:eastAsia="仿宋_GB2312"/>
          <w:b w:val="0"/>
          <w:sz w:val="32"/>
        </w:rPr>
        <w:t>年初预算数1,049.80万元，决算数1,175.11万元，预决算差异率11.94%，主要原因是：年中追加人员工资、社保、公积金基数调增部分资金，追加吉木萨尔县线上文旅推介会工作经费，导致预决算存在差异。</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1.文化旅游体育与传媒支出（类）890.01万元，占75.74%。</w:t>
      </w:r>
    </w:p>
    <w:p>
      <w:pPr>
        <w:spacing w:line="580" w:lineRule="exact"/>
        <w:ind w:firstLine="640"/>
        <w:jc w:val="both"/>
      </w:pPr>
      <w:r>
        <w:rPr>
          <w:rFonts w:ascii="仿宋_GB2312" w:hAnsi="仿宋_GB2312" w:eastAsia="仿宋_GB2312"/>
          <w:b w:val="0"/>
          <w:sz w:val="32"/>
        </w:rPr>
        <w:t>2.社会保障和就业支出（类）164.13万元，占13.97%。</w:t>
      </w:r>
    </w:p>
    <w:p>
      <w:pPr>
        <w:spacing w:line="580" w:lineRule="exact"/>
        <w:ind w:firstLine="640"/>
        <w:jc w:val="both"/>
      </w:pPr>
      <w:r>
        <w:rPr>
          <w:rFonts w:ascii="仿宋_GB2312" w:hAnsi="仿宋_GB2312" w:eastAsia="仿宋_GB2312"/>
          <w:b w:val="0"/>
          <w:sz w:val="32"/>
        </w:rPr>
        <w:t>3.卫生健康支出（类）68.78万元，占5.85%。</w:t>
      </w:r>
    </w:p>
    <w:p>
      <w:pPr>
        <w:spacing w:line="580" w:lineRule="exact"/>
        <w:ind w:firstLine="640"/>
        <w:jc w:val="both"/>
      </w:pPr>
      <w:r>
        <w:rPr>
          <w:rFonts w:ascii="仿宋_GB2312" w:hAnsi="仿宋_GB2312" w:eastAsia="仿宋_GB2312"/>
          <w:b w:val="0"/>
          <w:sz w:val="32"/>
        </w:rPr>
        <w:t>4.住房保障支出（类）52.19万元，占4.44%。</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1.文化旅游体育与传媒支出（类）文化和旅游（款）其他文化和旅游支出（项）：支出决算数为5.00万元，比上年决算增加5.00万元，增长100.00%，主要原因是：本年新增自治区文艺扶持奖励等项目经费。</w:t>
      </w:r>
    </w:p>
    <w:p>
      <w:pPr>
        <w:spacing w:line="580" w:lineRule="exact"/>
        <w:ind w:firstLine="640"/>
        <w:jc w:val="both"/>
      </w:pPr>
      <w:r>
        <w:rPr>
          <w:rFonts w:ascii="仿宋_GB2312" w:hAnsi="仿宋_GB2312" w:eastAsia="仿宋_GB2312"/>
          <w:b w:val="0"/>
          <w:sz w:val="32"/>
        </w:rPr>
        <w:t>2.文化旅游体育与传媒支出（类）广播电视（款）行政运行（项）：支出决算数为710.25万元，比上年决算增加35.31万元，增长5.23%，主要原因是：本年在职人员工资调增，导致相关人员经费较上年有所增加。</w:t>
      </w:r>
    </w:p>
    <w:p>
      <w:pPr>
        <w:spacing w:line="580" w:lineRule="exact"/>
        <w:ind w:firstLine="640"/>
        <w:jc w:val="both"/>
      </w:pPr>
      <w:r>
        <w:rPr>
          <w:rFonts w:ascii="仿宋_GB2312" w:hAnsi="仿宋_GB2312" w:eastAsia="仿宋_GB2312"/>
          <w:b w:val="0"/>
          <w:sz w:val="32"/>
        </w:rPr>
        <w:t>3.文化旅游体育与传媒支出（类）广播电视（款）其他广播电视支出（项）：支出决算数为91.24万元，比上年决算增加1.03万元，增长1.14%，主要原因是：本年政府预算链路经费增加。</w:t>
      </w:r>
    </w:p>
    <w:p>
      <w:pPr>
        <w:spacing w:line="580" w:lineRule="exact"/>
        <w:ind w:firstLine="640"/>
        <w:jc w:val="both"/>
      </w:pPr>
      <w:r>
        <w:rPr>
          <w:rFonts w:ascii="仿宋_GB2312" w:hAnsi="仿宋_GB2312" w:eastAsia="仿宋_GB2312"/>
          <w:b w:val="0"/>
          <w:sz w:val="32"/>
        </w:rPr>
        <w:t>4.文化旅游体育与传媒支出（类）其他文化旅游体育与传媒支出（款）其他文化旅游体育与传媒支出（项）：支出决算数为83.53万元，比上年决算增加4.80万元，增长6.10%，主要原因是：本年少数民族和边疆地区文化安全补助资金较上年增加。</w:t>
      </w:r>
    </w:p>
    <w:p>
      <w:pPr>
        <w:spacing w:line="580" w:lineRule="exact"/>
        <w:ind w:firstLine="640"/>
        <w:jc w:val="both"/>
      </w:pPr>
      <w:r>
        <w:rPr>
          <w:rFonts w:ascii="仿宋_GB2312" w:hAnsi="仿宋_GB2312" w:eastAsia="仿宋_GB2312"/>
          <w:b w:val="0"/>
          <w:sz w:val="32"/>
        </w:rPr>
        <w:t>5.社会保障和就业支出（类）行政事业单位养老支出（款）事业单位离退休（项）：支出决算数为24.79万元，比上年决算增加7.09万元，增长40.06%，主要原因是：本年增加退休人员基础绩效奖，退休费支出增加。</w:t>
      </w:r>
    </w:p>
    <w:p>
      <w:pPr>
        <w:spacing w:line="580" w:lineRule="exact"/>
        <w:ind w:firstLine="640"/>
        <w:jc w:val="both"/>
      </w:pPr>
      <w:r>
        <w:rPr>
          <w:rFonts w:ascii="仿宋_GB2312" w:hAnsi="仿宋_GB2312" w:eastAsia="仿宋_GB2312"/>
          <w:b w:val="0"/>
          <w:sz w:val="32"/>
        </w:rPr>
        <w:t>6.社会保障和就业支出（类）行政事业单位养老支出（款）机关事业单位基本养老保险缴费支出（项）：支出决算数为61.77万元，比上年决算增加3.78万元，增长6.52%，主要原因是：本年在职人员工资基数调增，养老缴费基数上涨，相应支出增加。</w:t>
      </w:r>
    </w:p>
    <w:p>
      <w:pPr>
        <w:spacing w:line="580" w:lineRule="exact"/>
        <w:ind w:firstLine="640"/>
        <w:jc w:val="both"/>
      </w:pPr>
      <w:r>
        <w:rPr>
          <w:rFonts w:ascii="仿宋_GB2312" w:hAnsi="仿宋_GB2312" w:eastAsia="仿宋_GB2312"/>
          <w:b w:val="0"/>
          <w:sz w:val="32"/>
        </w:rPr>
        <w:t>7.社会保障和就业支出（类）行政事业单位养老支出（款）机关事业单位职业年金缴费支出（项）：支出决算数为77.57万元，比上年决算增加41.17万元，增长113.10%，主要原因是：本年在职人员工资基数调增，职业年金缴费基数上涨，相应支出增加。</w:t>
      </w:r>
    </w:p>
    <w:p>
      <w:pPr>
        <w:spacing w:line="580" w:lineRule="exact"/>
        <w:ind w:firstLine="640"/>
        <w:jc w:val="both"/>
      </w:pPr>
      <w:r>
        <w:rPr>
          <w:rFonts w:ascii="仿宋_GB2312" w:hAnsi="仿宋_GB2312" w:eastAsia="仿宋_GB2312"/>
          <w:b w:val="0"/>
          <w:sz w:val="32"/>
        </w:rPr>
        <w:t>8.卫生健康支出（类）行政事业单位医疗（款）事业单位医疗（项）：支出决算数为47.55万元，比上年决算增加12.12万元，增长34.21%，主要原因是：本年在职人员工资基数调增，医疗缴费基数上涨，相应支出增加。</w:t>
      </w:r>
    </w:p>
    <w:p>
      <w:pPr>
        <w:spacing w:line="580" w:lineRule="exact"/>
        <w:ind w:firstLine="640"/>
        <w:jc w:val="both"/>
      </w:pPr>
      <w:r>
        <w:rPr>
          <w:rFonts w:ascii="仿宋_GB2312" w:hAnsi="仿宋_GB2312" w:eastAsia="仿宋_GB2312"/>
          <w:b w:val="0"/>
          <w:sz w:val="32"/>
        </w:rPr>
        <w:t>9.卫生健康支出（类）行政事业单位医疗（款）公务员医疗补助（项）：支出决算数为21.23万元，比上年决算增加18.74万元，增长752.61%，主要原因是：本年在职人员工资基数调增，医疗缴费基数上涨，相应支出增加。</w:t>
      </w:r>
    </w:p>
    <w:p>
      <w:pPr>
        <w:spacing w:line="580" w:lineRule="exact"/>
        <w:ind w:firstLine="640"/>
        <w:jc w:val="both"/>
      </w:pPr>
      <w:r>
        <w:rPr>
          <w:rFonts w:ascii="仿宋_GB2312" w:hAnsi="仿宋_GB2312" w:eastAsia="仿宋_GB2312"/>
          <w:b w:val="0"/>
          <w:sz w:val="32"/>
        </w:rPr>
        <w:t>10.住房保障支出（类）住房改革支出（款）住房公积金（项）：支出决算数为52.19万元，比上年决算增加5.00万元，增长10.60%，主要原因是：本年在职人员工资基数调增，住房公积金缴费基数上涨，相应支出增加。</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2025年度一般公共预算财政拨款基本支出995.35万元，其中：</w:t>
      </w:r>
      <w:r>
        <w:rPr>
          <w:rFonts w:ascii="仿宋_GB2312" w:hAnsi="仿宋_GB2312" w:eastAsia="仿宋_GB2312"/>
          <w:b/>
          <w:sz w:val="32"/>
        </w:rPr>
        <w:t>人员经费934.62万元，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其他工资福利支出、退休费、抚恤金、生活补助、其他对个人和家庭的补助。</w:t>
      </w:r>
    </w:p>
    <w:p>
      <w:pPr>
        <w:spacing w:line="580" w:lineRule="exact"/>
        <w:ind w:firstLine="640"/>
        <w:jc w:val="both"/>
      </w:pPr>
      <w:r>
        <w:rPr>
          <w:rFonts w:ascii="仿宋_GB2312" w:hAnsi="仿宋_GB2312" w:eastAsia="仿宋_GB2312"/>
          <w:b/>
          <w:sz w:val="32"/>
        </w:rPr>
        <w:t>公用经费60.72万元，</w:t>
      </w:r>
      <w:r>
        <w:rPr>
          <w:rFonts w:ascii="仿宋_GB2312" w:hAnsi="仿宋_GB2312" w:eastAsia="仿宋_GB2312"/>
          <w:b w:val="0"/>
          <w:sz w:val="32"/>
        </w:rPr>
        <w:t>包括：办公费、取暖费、差旅费、维修（护）费、公务接待费、委托业务费、工会经费、公务用车运行维护费、其他商品和服务支出。</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val="0"/>
          <w:sz w:val="32"/>
        </w:rPr>
        <w:t>按照党中央、国务院关于党政机关习惯过紧日子的有关要求，厉行节约办一切事业，严控一般性支出。同时坚持有保有压，优化支出结构，提高资金使用效率，合理保障化解工信台账欠款等重点支出，体现在有关支出科目中。</w:t>
      </w:r>
    </w:p>
    <w:p>
      <w:pPr>
        <w:spacing w:line="580" w:lineRule="exact"/>
        <w:ind w:firstLine="640"/>
        <w:jc w:val="both"/>
      </w:pPr>
      <w:r>
        <w:rPr>
          <w:rFonts w:ascii="仿宋_GB2312" w:hAnsi="仿宋_GB2312" w:eastAsia="仿宋_GB2312"/>
          <w:b/>
          <w:sz w:val="32"/>
        </w:rPr>
        <w:t>2025年度政府性基金预算财政拨款收入总计68.40万元，</w:t>
      </w:r>
      <w:r>
        <w:rPr>
          <w:rFonts w:ascii="仿宋_GB2312" w:hAnsi="仿宋_GB2312" w:eastAsia="仿宋_GB2312"/>
          <w:b w:val="0"/>
          <w:sz w:val="32"/>
        </w:rPr>
        <w:t>其中：年初结转和结余0.00万元，本年收入68.40万元。</w:t>
      </w:r>
      <w:r>
        <w:rPr>
          <w:rFonts w:ascii="仿宋_GB2312" w:hAnsi="仿宋_GB2312" w:eastAsia="仿宋_GB2312"/>
          <w:b/>
          <w:sz w:val="32"/>
        </w:rPr>
        <w:t>政府性基金预算财政拨款支出总计68.40万元，</w:t>
      </w:r>
      <w:r>
        <w:rPr>
          <w:rFonts w:ascii="仿宋_GB2312" w:hAnsi="仿宋_GB2312" w:eastAsia="仿宋_GB2312"/>
          <w:b w:val="0"/>
          <w:sz w:val="32"/>
        </w:rPr>
        <w:t>其中：年末结转和结余0.00万元，本年支出68.40万元。</w:t>
      </w:r>
    </w:p>
    <w:p>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增加68.40万元，增长100.00%，主要原因是：本年新增化解工信台账欠款资金。</w:t>
      </w:r>
      <w:r>
        <w:rPr>
          <w:rFonts w:ascii="仿宋_GB2312" w:hAnsi="仿宋_GB2312" w:eastAsia="仿宋_GB2312"/>
          <w:b/>
          <w:sz w:val="32"/>
        </w:rPr>
        <w:t>与年初预算相比，</w:t>
      </w:r>
      <w:r>
        <w:rPr>
          <w:rFonts w:ascii="仿宋_GB2312" w:hAnsi="仿宋_GB2312" w:eastAsia="仿宋_GB2312"/>
          <w:b w:val="0"/>
          <w:sz w:val="32"/>
        </w:rPr>
        <w:t>年初预算数0.00万元，决算数68.40万元，预决算差异率100.00%，主要原因是：年终追加化解工信台账欠款资金。</w:t>
      </w:r>
    </w:p>
    <w:p>
      <w:pPr>
        <w:spacing w:line="580" w:lineRule="exact"/>
        <w:ind w:firstLine="640"/>
        <w:jc w:val="both"/>
      </w:pPr>
      <w:r>
        <w:rPr>
          <w:rFonts w:ascii="仿宋_GB2312" w:hAnsi="仿宋_GB2312" w:eastAsia="仿宋_GB2312"/>
          <w:b w:val="0"/>
          <w:sz w:val="32"/>
        </w:rPr>
        <w:t>政府性基金预算财政拨款本年支出68.40万元。具体情况如下：</w:t>
      </w:r>
    </w:p>
    <w:p>
      <w:pPr>
        <w:spacing w:line="580" w:lineRule="exact"/>
        <w:ind w:firstLine="640"/>
        <w:jc w:val="both"/>
      </w:pPr>
      <w:r>
        <w:rPr>
          <w:rFonts w:ascii="仿宋_GB2312" w:hAnsi="仿宋_GB2312" w:eastAsia="仿宋_GB2312"/>
          <w:b w:val="0"/>
          <w:sz w:val="32"/>
        </w:rPr>
        <w:t>1.其他支出（类）其他政府性基金及对应专项债务收入安排的支出（款）其他政府性基金债务收入安排的支出（项）：支出决算数为68.40万元，比上年决算增加68.40万元，增长100.00%，主要原因是：本年新增化解工信台账欠款资金。</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2025年度财政拨款“三公”经费支出2.15万元，</w:t>
      </w:r>
      <w:r>
        <w:rPr>
          <w:rFonts w:ascii="仿宋_GB2312" w:hAnsi="仿宋_GB2312" w:eastAsia="仿宋_GB2312"/>
          <w:b w:val="0"/>
          <w:sz w:val="32"/>
        </w:rPr>
        <w:t>比上年增加0.15万元，增长7.50%，主要原因是：本单位公务用车日渐老化，维修维护成本增加，导致公务用车运行维护费较上年增加。</w:t>
      </w:r>
      <w:r>
        <w:rPr>
          <w:rFonts w:ascii="仿宋_GB2312" w:hAnsi="仿宋_GB2312" w:eastAsia="仿宋_GB2312"/>
          <w:b w:val="0"/>
          <w:sz w:val="32"/>
        </w:rPr>
        <w:t>其中：因公出国（境）费用支出0.00万元，占0.00%，比上年增加0.00万元，增长0.00%，主要原因是：2024年与2025年均无因公出国（境）费用支出。</w:t>
      </w:r>
      <w:r>
        <w:rPr>
          <w:rFonts w:ascii="仿宋_GB2312" w:hAnsi="仿宋_GB2312" w:eastAsia="仿宋_GB2312"/>
          <w:b w:val="0"/>
          <w:sz w:val="32"/>
        </w:rPr>
        <w:t>公务用车购置及运行维护费支出2.00万元，占93.02%，比上年增加0.00万元，增长0.00%，主要原因是：本单位公务用车购置及运行维护费与上年一致无变化。</w:t>
      </w:r>
      <w:r>
        <w:rPr>
          <w:rFonts w:ascii="仿宋_GB2312" w:hAnsi="仿宋_GB2312" w:eastAsia="仿宋_GB2312"/>
          <w:b w:val="0"/>
          <w:sz w:val="32"/>
        </w:rPr>
        <w:t>公务接待费支出0.15万元，占6.98%，比上年增加0.15万元，增长100.00%，主要原因是：本年新增公务接待费用。</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因公出国（境）费用0.00万元，开支内容包括本单位无因公出国（境）费用。单位全年安排的因公出国（境）团组0个，因公出国（境）0人次。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2.00万元，其中：公务用车购置费0.00万元，公务用车运行维护费2.00万元。公务用车运行维护费开支内容包括车辆加油费、维修费、保险费、审车费、过路费等。公务用车购置数0辆，公务用车保有量1辆。国有资产占用情况中固定资产车辆1辆，与公务用车保有量差异原因是：本单位公务用车保有量与固定资产车辆一致无差异。</w:t>
      </w:r>
    </w:p>
    <w:p>
      <w:pPr>
        <w:spacing w:line="580" w:lineRule="exact"/>
        <w:ind w:firstLine="640"/>
        <w:jc w:val="both"/>
      </w:pPr>
      <w:r>
        <w:rPr>
          <w:rFonts w:ascii="仿宋_GB2312" w:hAnsi="仿宋_GB2312" w:eastAsia="仿宋_GB2312"/>
          <w:b w:val="0"/>
          <w:sz w:val="32"/>
        </w:rPr>
        <w:t>公务接待费0.15万元，开支内容包括公务接待产生的就餐费。单位全年安排的国内公务接待3批次，32人次。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2.30万元，决算数2.15万元，预决算差异率-6.52%，主要原因是：严格落实中央八项规定精神，厉行节约，减少经费支出。其中：因公出国（境）费用全年预算数0.00万元，决算数0.00万元，预决算差异率0.00%，主要原因是：本单位无因公出国（境）费用。公务用车购置费全年预算数0.00万元，决算数0.00万元，预决算差异率0.00%，主要原因是：本单位无公务用车购置费。公务用车运行维护费全年预算数2.00万元，决算数2.00万元，预决算差异率0.00%，主要原因是：严格按照预算执行，预决算无差异。公务接待费全年预算数0.30万元，决算数0.15万元，预决算差异率-50.00%，主要原因是：严格控制公务接待活动，认真执行经费开支标准，减少公务接待运行成本费用。</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2025年度吉木萨尔县融媒体中心（事业单位）公用经费支出60.72万元，比上年增加6.93万元，增长12.88%，主要原因是：本年更新、维护补充办公用品，导致公用经费较上年增加。</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2025年度政府采购支出总额1.51万元，其中：政府采购货物支出0.61万元、政府采购工程支出0.00万元、政府采购服务支出0.89万元。</w:t>
      </w:r>
    </w:p>
    <w:p>
      <w:pPr>
        <w:spacing w:line="580" w:lineRule="exact"/>
        <w:ind w:firstLine="640"/>
        <w:jc w:val="both"/>
      </w:pPr>
      <w:r>
        <w:rPr>
          <w:rFonts w:ascii="仿宋_GB2312" w:hAnsi="仿宋_GB2312" w:eastAsia="仿宋_GB2312"/>
          <w:b w:val="0"/>
          <w:sz w:val="32"/>
        </w:rPr>
        <w:t>授予中小企业合同金额1.51万元，占政府采购支出总额的100.00%，其中：授予小微企业合同金额0.03万元，占政府采购支出总额的1.99%。</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2025年12月31日，房屋1,173.16平方米，价值1,054.39万元。车辆1辆，价值15.85万元，其中：副部（省）级及以上领导用车0辆、主要负责人用车0辆、机要通信用车0辆、应急保障用车0辆、执法执勤用车0辆、特种专业技术用车0辆、离退休干部服务用车0辆、其他用车1辆，其他用车主要是：一般公务用车。单价100万元（含）以上设备（不含车辆）2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2025年度预算绩效管理形成整体支出绩效自评表1个，全年预算总额1,321.07万元，实际执行总额1,309.40万元；预算绩效评价项目5个，全年预算数136.15万元，全年执行数136.15万元。预算绩效管理取得的成效：（一）聚焦核心主题，强化内容生产与传播效能围绕“讲好吉木萨尔故事”核心，聚焦中心工作与特色资源，重点栏目影响力持续攀升，全面梳理“十四五”期间全县各领域发展成就，系统展现县域发展成果。（二）聚焦“四全媒体”，推动主力军挺进主战场深入贯彻落实习近平总书记关于建设“全程媒体、全息媒体、全员媒体、全效媒体”的重要指示批示精神，强化“顶层策划、一体采集、多元生成、全媒传播”的创作运行机制。创新打造“四融”工作机制，坚持“上融”各级媒体“提音量”，“下融”基层党组织“增热量”，“内融”部门单位“聚能量”，“外融”商业平台“扩音量”，多形式、多平台、多载体、全覆盖做好新闻宣传和舆论引导工作。2025年，完成中央、区、州各级媒体平台上稿1372条，较上年度增长10%；学习强国上稿170篇，其中全国平台推荐35篇，供稿量位列全州前列。开展吉木萨尔县2025年社火调演、春晚、年货节、主播带岗、文旅推介等网络直播活动25场次，自有平台总观看量超120万人次；联合新华网、新疆电视台、中新网等平台开展“天山马拉松”“厦吉美食节”等直播4场次，全网累计180万人次观看。“云瞰北庭”慢直播系统成功加入央视总台央视频客户端看祖国壮美山河模块，全面推介吉木萨尔县自然风光。（三）搭健全媒矩阵，创新“媒体+”政务服务模式搭建了集“吉木萨尔好地方”AP，“吉木萨尔零距离”微信公众号、视频号，“魅力新北庭”抖音号、微博号，吉木萨尔综合电视频道，95.1HZ调频广播，3块户外LED大屏于一体的全媒体平台矩阵，推进传统媒体与新媒体互为补充、有机融合、同频共振。“厦吉融创全媒体”高层次人才引进工作室和“叶涛媒体融合与创新工作室”作用发挥明显，创新开展“媒体”+政务服务商务工作，以“直播+”为载体，开设《云端问诊》《主播带岗》《北庭普法进行时》网络直播栏目，累计播出14期，观看人数超8.6万人次，互动点赞量3.2万次。（四）建管协同发力，筑牢媒体平台安全播出防线。发现的问题及原因：一、特色内容挖掘深度与持续性不足。虽打造了《庭有文化》《出租车司机段师傅杂话》等特色IP，但北庭故城历史文化、非遗等核心资源的系统性挖掘仍有欠缺；爆款短视频多依赖偶然性民生热点，主题系列化、精品化内容储备不足，难以形成持续的品牌影响力，与“讲好吉木萨尔故事”的核心目标存在差距。二、媒体融合效能与资源整合力度不够。“四融”工作机制和全媒体平台矩阵已初步搭建，但“上融”各级媒体的深度合作多集中于单次直播活动，常态化联动机制尚未健全；“内融”部门单位的协同效应未充分释放，“媒体+政务服务”的栏目类型和播出频次有限，对民生服务、政务办理的覆盖广度与服务深度不足，未能完全实现“全效媒体”的服务价值。三、基层传播覆盖尚未完全打通：新媒体平台矩阵的下沉覆盖不足，针对基层群众（尤其是老年群体、农村群众）的内容形式和传播渠道适配性不够，未能充分发挥大喇叭、户外LED大屏等基层载体与新媒体的互补作用，基层传播““最后一公里””尚未完全打通。下一步改进措施：1.建强人才队伍，深化融创宣传。以“厦吉融合创作”高层次人才引进工作室和“叶涛融媒体工作室”2个工作室为依托，引进和培育全媒体人才队伍，实施好“北庭星火”人才项目，继续做好《“庭”有文化》《全景吉木萨尔》《记者带你看乡村》等专题专栏的宣传报道，强化以短视频、直播为主的网络媒体平台创新宣传，提升融创产品前端策划能力。2.打造特色IP，扩大传播体量。打造以“缘疆”、夜游北庭、乌昌地区周末微度假首选地为新IP的专题专栏，策划拍摄制作系列宣传推介吉木萨尔经济社会高质量发展、援疆成果展示、北庭历史文化、民俗旅游等系列短视频。力争完成各级媒体平台上稿量至少1300条，持续保持中央、区、州级媒体平台上稿量逐年递增趋势；完成学习强国上稿80条以上；全年完成原创短视频、海报等新媒体产品1000部。3.推进媒体+政务，优化线上服务。推进“媒体+政务”深度融合，联合政务服务中心、综治中心开设《主播说业务》栏目，实现政务信息发布、在线办事、政民互动等功能一体化。持续做好《云端问诊》《主播带岗》《北庭普法》等网络直播活动，在云端场景中为群众普及就业政策、法律法规和医疗康养知识，打造便捷高效线上服务新模式。4.筑牢设施保障，守护安全运行。保障广播电视设施设备正常安全运行，机房系统设备、单位网络安全巡检维护全年不少于12次，安全播出“零事故”；县域183套大喇叭、“村村通”“户通”等广播电视基础设备全年开展巡检维护不少于4次。具体附整体支出绩效自评表、项目支出绩效自评表。</w:t>
      </w:r>
    </w:p>
    <w:p>
      <w:r>
        <w:br w:type="page"/>
      </w:r>
    </w:p>
    <w:tbl>
      <w:tblPr>
        <w:tblW w:type="auto" w:w="0"/>
        <w:tblLook w:firstColumn="1" w:firstRow="1" w:lastColumn="0" w:lastRow="0" w:noHBand="0" w:noVBand="1" w:val="04A0"/>
      </w:tblPr>
      <w:tblGrid>
        <w:gridCol w:w="983"/>
        <w:gridCol w:w="983"/>
        <w:gridCol w:w="983"/>
        <w:gridCol w:w="983"/>
        <w:gridCol w:w="983"/>
        <w:gridCol w:w="983"/>
        <w:gridCol w:w="983"/>
        <w:gridCol w:w="983"/>
        <w:gridCol w:w="983"/>
      </w:tblGrid>
      <w:tr>
        <w:tc>
          <w:tcPr>
            <w:tcW w:type="dxa" w:w="983"/>
            <w:gridSpan w:val="9"/>
            <w:vAlign w:val="center"/>
          </w:tcPr>
          <w:p>
            <w:pPr>
              <w:jc w:val="center"/>
            </w:pPr>
            <w:r>
              <w:rPr>
                <w:rFonts w:ascii="宋体" w:hAnsi="宋体" w:eastAsia="宋体"/>
                <w:sz w:val="24"/>
              </w:rPr>
              <w:t>单位整体支出绩效自评表</w:t>
            </w:r>
          </w:p>
        </w:tc>
      </w:tr>
      <w:tr>
        <w:tc>
          <w:tcPr>
            <w:tcW w:type="dxa" w:w="983"/>
            <w:gridSpan w:val="9"/>
            <w:vAlign w:val="center"/>
          </w:tcPr>
          <w:p>
            <w:pPr>
              <w:jc w:val="center"/>
            </w:pPr>
            <w:r>
              <w:rPr>
                <w:rFonts w:ascii="宋体" w:hAnsi="宋体" w:eastAsia="宋体"/>
                <w:sz w:val="24"/>
              </w:rPr>
              <w:t>（2025年度）</w:t>
            </w:r>
          </w:p>
        </w:tc>
      </w:tr>
      <w:tr>
        <w:trPr>
          <w:cantSplit/>
        </w:trPr>
        <w:tc>
          <w:tcPr>
            <w:tcBorders>
              <w:top w:sz="10" w:val="single"/>
              <w:bottom w:sz="10" w:val="single"/>
              <w:start w:sz="10" w:val="single"/>
              <w:end w:sz="10" w:val="single"/>
              <w:insideV w:sz="10" w:val="single"/>
            </w:tcBorders>
            <w:vAlign w:val="center"/>
          </w:tcPr>
          <w:p>
            <w:pPr>
              <w:jc w:val="center"/>
            </w:pPr>
            <w:r>
              <w:rPr>
                <w:rFonts w:ascii="宋体" w:hAnsi="宋体" w:eastAsia="宋体"/>
                <w:sz w:val="16"/>
              </w:rPr>
              <w:t>单位名称</w:t>
            </w:r>
          </w:p>
        </w:tc>
        <w:tc>
          <w:tcPr>
            <w:gridSpan w:val="8"/>
            <w:tcBorders>
              <w:top w:sz="10" w:val="single"/>
              <w:bottom w:sz="10" w:val="single"/>
              <w:start w:sz="10" w:val="single"/>
              <w:end w:sz="10" w:val="single"/>
              <w:insideV w:sz="10" w:val="single"/>
            </w:tcBorders>
            <w:vAlign w:val="center"/>
          </w:tcPr>
          <w:p>
            <w:pPr>
              <w:jc w:val="center"/>
            </w:pPr>
            <w:r>
              <w:rPr>
                <w:rFonts w:ascii="宋体" w:hAnsi="宋体" w:eastAsia="宋体"/>
                <w:sz w:val="16"/>
              </w:rPr>
              <w:t>吉木萨尔县融媒体中心</w:t>
            </w:r>
          </w:p>
        </w:tc>
      </w:tr>
      <w:tr>
        <w:trPr>
          <w:cantSplit/>
        </w:trPr>
        <w:tc>
          <w:tcPr>
            <w:tcW w:type="dxa" w:w="983"/>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部门资金（万元）</w:t>
            </w: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资金来源</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上级资金</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136.15</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68.39</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68.39</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本级资金</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913.66</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1,252.68</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1,241.01</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其他资金</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138.00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合计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2,375.62</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2,642.14</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2,618.80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合计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2,375.62</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2,642.14</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2,618.80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983"/>
            <w:gridSpan w:val="3"/>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983"/>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3"/>
            <w:tcBorders>
              <w:start w:sz="10" w:val="single"/>
              <w:top w:sz="10" w:val="single"/>
              <w:end w:sz="10" w:val="single"/>
              <w:bottom w:sz="10" w:val="single"/>
              <w:insideV w:sz="10" w:val="single"/>
            </w:tcBorders>
            <w:vAlign w:val="center"/>
          </w:tcPr>
          <w:p>
            <w:pPr>
              <w:jc w:val="both"/>
            </w:pPr>
            <w:r>
              <w:rPr>
                <w:rFonts w:ascii="宋体" w:hAnsi="宋体" w:eastAsia="宋体"/>
                <w:sz w:val="16"/>
              </w:rPr>
              <w:t>深入贯彻习近平新时代中国特色社会主义思想，全面学习宣传贯彻党的二十届三中全会精神，全国、区、州“两会”、宣传思想文化工作会议精神，坚持党管宣传、党管意识形态、党管媒体，锚定区、州党委关于深化县级融媒体中心改革建设、推进传统媒体与新媒体融合发展、做好“媒体+”政务服务商务工作、夯实基层宣传阵地建设等重点工作部署，全方位、多角度、立体式、可视化讲好“吉木萨尔故事”。获得自治区新闻奖三等奖新闻作品数量3部，开展网络直播活动13场次，制作“厦吉名医讲堂”系列短视频	72期，对广播电视基础设备开展巡检维护4次，拍摄制作“百名党组织书记话铸牢”、“百名党组织书记谈党风廉政建设”系列短视频300部，以守正创新为要务，探索创新“媒体+”政务服务商务工作，媒体平台信号畅通率保障在95%以上，保障广播电台正常播出节目。以奏响主旋律为使命，强化新闻宣传和舆论引导，充分宣传好厦门市鼓浪屿与吉木萨尔县北庭故城“双世遗”缔结友好合作协议成果展，展现厦门援助吉木萨尔县以来两地在交往、交流、交融方面取得的成效。力争完成各级媒体平台上稿量较2024年整体上涨5%的任务目标。</w:t>
            </w:r>
          </w:p>
        </w:tc>
        <w:tc>
          <w:tcPr>
            <w:tcW w:type="dxa" w:w="983"/>
            <w:gridSpan w:val="5"/>
            <w:tcBorders>
              <w:start w:sz="10" w:val="single"/>
              <w:top w:sz="10" w:val="single"/>
              <w:end w:sz="10" w:val="single"/>
              <w:bottom w:sz="10" w:val="single"/>
              <w:insideV w:sz="10" w:val="single"/>
            </w:tcBorders>
            <w:vAlign w:val="center"/>
          </w:tcPr>
          <w:p>
            <w:pPr>
              <w:jc w:val="both"/>
            </w:pPr>
            <w:r>
              <w:rPr>
                <w:rFonts w:ascii="宋体" w:hAnsi="宋体" w:eastAsia="宋体"/>
                <w:sz w:val="16"/>
              </w:rPr>
              <w:t>截至2025年12月31日，我单位全年预算数为1321.07万元，全年执行数为1309.4万元预算执行率99.12%。主要完成任务内容如下：获得自治区新闻奖三等奖新闻作品数量3部，开展网络直播活动13场，制作“厦吉名医讲堂”系列短视频72期，对广播电视基础设备开展巡检维护4次，拍摄制作“百名党组织书记话铸牢”、“百名党组织书记谈党风廉政建设”系列短视频300部，媒体平台上稿较2024年上涨5%，媒体平台信号畅通率95%，广播电台正常播出100%。1.实际完成保障单位在职人员和退休人员、编外人员的工资、奖金、绩效、社会保险缴费、住房公积金正常发放和缴纳，稳定干部职工队伍；2.实际完成及时支付公用经费，包含办公费、邮电费、差旅费、公务用车运行费、工会经费、劳务费等，确保单位正常工作运行。</w:t>
            </w:r>
          </w:p>
        </w:tc>
      </w:tr>
      <w:tr>
        <w:trPr>
          <w:cantSplit/>
        </w:trPr>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预期指标值</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实际完成指标值</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rPr>
          <w:cantSplit/>
        </w:trPr>
        <w:tc>
          <w:tcPr>
            <w:tcW w:type="dxa" w:w="983"/>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履职效能</w:t>
            </w:r>
          </w:p>
        </w:tc>
        <w:tc>
          <w:tcPr>
            <w:tcW w:type="dxa" w:w="983"/>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获得自治区新闻奖三等奖新闻作品数量</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&gt;=3部</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吉木萨尔县融媒体中心2024年工作总结及2025年工作计划</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13</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=3部</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13</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开展网络直播活动</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&gt;=13场次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吉木萨尔县融媒体中心2024年工作总结及2025年工作计划</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=13场次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制作“厦吉名医讲堂”系列短视频</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&gt;=72期</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吉木萨尔县融媒体中心2024年工作总结及2025年工作计划</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=72期</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对广播电视基础设备开展巡检维护</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&gt;=4次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吉木萨尔县融媒体中心2024年工作总结及2025年工作计划</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14</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=4次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14</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拍摄制作“百名党组织书记话铸牢”、“百名党组织书记谈党风廉政建设”系列短视频</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&gt;=300部</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吉木萨尔县融媒体中心2024年工作总结及2025年工作计划</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=300部</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媒体平台上稿较2024年上涨</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&gt;=5%</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吉木萨尔县融媒体中心2024年工作总结及2025年工作计划</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12</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12</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媒体平台信号畅通率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&gt;=95%</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吉木萨尔县融媒体中心2024年工作总结及2025年工作计划</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=95%</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广播电台正常播出</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吉木萨尔县融媒体中心2024年工作总结及2025年工作计划</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r>
      <w:tr>
        <w:trPr>
          <w:cantSplit/>
        </w:trPr>
        <w:tc>
          <w:tcPr>
            <w:tcW w:type="dxa" w:w="983"/>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983"/>
            <w:tcBorders>
              <w:start w:sz="10" w:val="single"/>
              <w:top w:sz="10" w:val="single"/>
              <w:end w:sz="10" w:val="single"/>
              <w:bottom w:sz="10" w:val="single"/>
              <w:insideV w:sz="10" w:val="single"/>
            </w:tcBorders>
          </w:tcP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90</w:t>
            </w:r>
          </w:p>
        </w:tc>
      </w:tr>
    </w:tbl>
    <w:p>
      <w:r>
        <w:br w:type="page"/>
      </w:r>
    </w:p>
    <w:p>
      <w:pPr>
        <w:sectPr>
          <w:footerReference r:id="rId3" w:type="default"/>
          <w:pgSz w:w="11906" w:h="16838"/>
          <w:pgMar w:top="2098" w:right="1531" w:bottom="1985" w:left="1531" w:header="851" w:footer="992" w:gutter="0"/>
          <w:cols w:space="720" w:num="1"/>
          <w:docGrid w:type="lines" w:linePitch="312" w:charSpace="0"/>
        </w:sectPr>
      </w:pP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2025年中央补助地方公共文化服务体系建设补助资金</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中共吉木萨尔县委员会宣传部</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吉木萨尔县融媒体中心</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34.73</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34.73</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34.73</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34.73</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34.73</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34.73</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本项目主要实施内容为：用于我县所有广播电视安全播出基础设施设备的更新换代以及维护维修等，项目总投资34.73万元。项目计划于2025年12月完成。通过本项目的实施，可以及时发现并解决设备存在的问题，确保节目的连续性和稳定性。可以有效减缓设备的老化速度，延长其使用寿命，从而满足观众对高质量视听体验的需求。待项目实施完成，争取使受益群众满意度不低于93%。</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至2025年12月31日，本项目资金支出34.73万元，项目预算执行率为100%，实际完成我县所有广播电视安全播出基础设施设备的更新换代以及维护维修等。通过本项目的实施，及时发现并解决了设备存在的问题，增强了节目的连续性和稳定性，提升了了设备的抗老化速度，延长了其使用寿命，促进了广播电视节目正常播放，满足了观众对高质量视听体验的需求。更好的维护了文化阵地安全。</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维修广电设施设备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&gt;=1次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行业标准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更新广电设施设备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&gt;=1次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行业标准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设备质量合格率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行业标准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资金支付及时率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行业标准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维修广电设施成本</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&lt;=4.73万元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=4.73万元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行业标准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更新广电设施成本</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&lt;=30万元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=30万元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保障广播电视正常播放，确保文化阵地安全</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有效保障</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行业标准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广播电视节目综合人口覆盖率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受益群众满意度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&gt;=93%</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=96.67%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103.95%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行业标准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未完成，存在偏差，偏差率为3.95%，偏差原因为：我单位在前期设定满意度指标时，为确保项目产出的安全性和底线思维，设定了≥93%的保守目标值，故与实际完成值产生偏差；下一年度改进措施：总结本次项目的成功经验，在编制下一年度绩效目标时，结合实际执行能力，将满意度目标值适当上调，以此倒逼服务质量持续提升。</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2025年少数民族和边疆地区文化安全补助资金</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中共吉木萨尔县委员会宣传部</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吉木萨尔县融媒体中心</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49.80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49.80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49.80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49.80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49.80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49.80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本项目主要实施内容为：用于我县所有广播电视安全播出发射机设备、村村通设备的更新换代以及维护维修、村村通运行维护车辆的使用，项目总投资49.8万元。项目计划于2025年12月完成。通过本项目的实施，可以及时发现并解决设备存在的问题，确保节目的连续性和稳定性。可以有效减缓设备的老化速度，延长其使用寿命，从而满足观众对高质量视听体验的需求。待项目实施完成，争取使受益群众满意度不低于93%。</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至2025年12月31日，该项目资金支出49.8万元，预算执行率为100%，本项目实际完成我县所有广播电视安全播出发射机设备、村村通设备的更新换代以及维护维修、村村通运行维护车辆的使用。通过本项目的实施，及时发现并解决了设备存在的问题，增强了节目的连续性和稳定性，提升了设备的抗老化速度，延长了其使用寿命，促进了观众对高质量视听体验的需求，更好的维护了文化阵地安全。</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广播电视节目发射机维护数量</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&gt;=6部</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=6部</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“村村通”运行维护使用车辆数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&gt;=1辆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发射机及附属设备完好率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资金及时支付率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广播电视节目发射机维护成本</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&lt;=47万元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=47万元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“村村通”运行维护使用车辆使用成本</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&lt;=2.80万元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=2.8万元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巩固文化阵地安全</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有效巩固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设备正常运转率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受益群众满意度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&gt;=93%</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=96.67%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103.95%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96.7%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未完成，存在偏差，偏差率为3.95%，偏差原因为：我单位在前期设定满意度指标时，为确保项目产出的安全性和底线思维，设定了≥93%的保守目标值，故与实际完成值产生偏差；下一年度改进措施：总结本次项目的成功经验，在编制下一年度绩效目标时，结合实际执行能力，将满意度目标值适当上调，以此倒逼服务质量持续提升。</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2025年自治区广播电视“村村通”运行维护聘用人员经费</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中共吉木萨尔县委员会宣传部</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吉木萨尔县融媒体中心</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11.62</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11.62</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11.62</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11.62</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11.62</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11.62</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本项目主要实施内容为：用于足额发放“村村通”7名运行维护人员的工资补助，项目总投资11.62万元。项目计划于2025年12月完成通过本项目的实施，旨在稳定基层“村村通”运行维护技术人员队伍，确保广播电视“村村通”设备的正常运行，保障广播电视节目信号的正常接收，提升广大广播电视用户正常收听收看节目的体验感。更好的维护好文化阵地安全。待项目实施完成，争取使受益运行维护人员满意度不低于93%。</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至2025年12月31日，该项目资金支出11.62万元，预算执行率为100%，实际完成足额发放“村村通”7名运行维护人员的工资补助。通过本项目的实施，增强了基层“村村通”运行维护技术人员队伍稳定性，提升了广大广播电视用户正常收听收看节目的体验感，促进了文化阵地安全。</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发放补助人数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发放补助次数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聘用人员年度考核合格率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补助资金发放及时率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每次发放资金数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&lt;=0.968万元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=0.968万元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0.968万元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提高我县村村通运行维护水平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长期有效</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长期有效</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提高运行维护人员工作积极性</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有效提高</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有效提高</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受益运行维护人员满意度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&gt;=93%</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=96.67%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103.95%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96.7%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未完成，存在偏差，偏差率为3.95%，偏差原因为：我单位在前期设定满意度指标时，为确保项目产出的安全性和底线思维，设定了≥93%的保守目标值，故与实际完成值产生偏差；下一年度改进措施：总结本次项目的成功经验，在编制下一年度绩效目标时，结合实际执行能力，将满意度目标值适当上调，以此倒逼服务质量持续提升。</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2025年自治区广播电视节目无线覆盖运行维护经费</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中共吉木萨尔县委员会宣传部</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吉木萨尔县融媒体中心</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22.00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22.00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22.00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22.00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22.00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22.00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本项目主要实施内容为：广播电视节目发射机维护数量6部，村村通维护设施设备购买批数4批，项目总投资22万元。项目计划于2025年12月完成。通过本项目的实施，可以及时发现并解决设备存在的问题，确保节目的连续性和稳定性。可以有效减缓设备的老化速度，延长其使用寿命，有效的改善我区现有20户以上自然村广播电视盲点农牧民群众能够正常收听收看中央和自治区广播电视节目。待项目实施完成，争取使受益群众满意度不低于93%。</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至2025年12月31日，本项目资金支出22万元，预算资金执行率为100%，实际完成广播电视节目发射机维护数量6部，村村通维护设施设备购买批数4批，项目总投资22万元。通过本项目的实施，增强了了自治区为县市级配备的转播中央及自治区节目的数字电视发射机和调频广播发射机以及“村村通”设施设备的正常运转，提升了我区现有20户以上自然村广播电视盲点农牧民群众能够正常收听收看中央和自治区广播电视节目，促进了文化阵地的安全。</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调频发射机维护数量</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&gt;=6部</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=6部</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6部</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村村通设备购买批数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&gt;=4批</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=4批</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发射机“三满”播出率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资金使用合规率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直接赋分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自治区广播节目播出任务完成率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调频发射机维护成本</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&lt;=2万元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村村通设备购买成本</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&lt;=20万元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广播节目综合人口覆盖率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基本公共文化服务水平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稳步提升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稳步提升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群众对广播电视基本公共文化服务满意度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&gt;=93%</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=96.67%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103.95%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96.7%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未完成，存在偏差，偏差率为3.95%，偏差原因为：我单位在前期设定满意度指标时，为确保项目产出的安全性和底线思维，设定了≥93%的保守目标值，故与实际完成值产生偏差；下一年度改进措施：总结本次项目的成功经验，在编制下一年度绩效目标时，结合实际执行能力，将满意度目标值适当上调，以此倒逼服务质量持续提升。</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融媒体链路经费</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中共吉木萨尔县委员会宣传部</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吉木萨尔县融媒体中心</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18.00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18.00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18.00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18.00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18.00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18.00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本项目主要实施内容为：支付声音全覆盖5个基站光缆链路4万元、支付自治区石榴云专线互联网宽带费用4.5万元、维护整治吉木萨尔县至大有发射站27公里光缆6万元、支付10个慢直播点位通信费用3.5万元，项目总投资为18万元，项目计划于2025年12月完成。通过本项目的实施，可有效保证吉木萨尔县融媒体中心所有业务正常运转，可持续扩大吉木萨尔县对外宣传影响力，待项目实施完成，争取使受益人群满意度不低于95%。</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至2025年12月31日，该项目资金支出18万元，项目预算执行率为100%。本项目实际完成支付声音全覆盖5个基站光缆链路4万元、支付自治区石榴云专线互联网宽带费用4.5万元、维护整治吉木萨尔县至大有发射站27公里光缆6万元、支付10个慢直播点位通信费用3.5万元，通过本项目的实施，加强了吉木萨尔县融媒体中心所有业务正常运转，提升了吉木萨尔县对外宣传影响力，促进了媒体融合与相关事业的高质量发展。</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覆盖基站光缆链路数量</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维护整治发射站光缆长度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&gt;=27公里</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=27公里</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支付慢直播点位链路数量</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支付石榴云专线链路数量</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线路维修合格率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保障月数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=12个月</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=12个月</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覆盖基站光缆链路成本</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&lt;=4万元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维护整治发射站光缆成本</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&lt;=6万元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慢直播点位链路成本</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&lt;=3.50万元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=3.5万元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石榴云专线链路成本</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&lt;=4.50万元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=4.5万元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持续提升对外宣传影响力</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有效提升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设备正常运转率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受益群众满意度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=96.67%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101.76%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未完成，存在偏差，偏差率为1.76%，偏差原因为：我单位在前期设定满意度指标时，为确保项目产出的安全性和底线思维，设定了≥95%的保守目标值，故与实际完成值产生偏差；下一年度改进措施：总结本次项目的成功经验，在编制下一年度绩效目标时，结合实际执行能力，将满意度目标值适当上调，以此倒逼服务质量持续提升。</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p>
      <w:pPr>
        <w:sectPr>
          <w:type w:val="continuous"/>
          <w:pgSz w:w="11906" w:h="16838"/>
          <w:pgMar w:top="1440" w:right="1800" w:bottom="1440" w:left="1800" w:header="851" w:footer="992" w:gutter="0"/>
          <w:cols w:space="720" w:num="1"/>
          <w:docGrid w:type="lines" w:linePitch="312" w:charSpace="0"/>
        </w:sectPr>
      </w:pP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无其他需说明的事项。</w:t>
      </w:r>
    </w:p>
    <w:p>
      <w:r>
        <w:br w:type="page"/>
      </w:r>
    </w:p>
    <w:p>
      <w:pPr>
        <w:spacing w:lineRule="exact" w:line="600"/>
        <w:jc w:val="center"/>
        <w:outlineLvl w:val="0"/>
      </w:pPr>
      <w:r>
        <w:rPr>
          <w:rFonts w:ascii="黑体" w:hAnsi="黑体" w:eastAsia="黑体"/>
          <w:sz w:val="32"/>
        </w:rPr>
        <w:t>第三部分 专业名词解释</w:t>
      </w:r>
    </w:p>
    <w:p>
      <w:pPr>
        <w:spacing w:lineRule="exact" w:line="600"/>
        <w:ind w:firstLine="643" w:firstLineChars="200"/>
        <w:autoSpaceDE w:val="0"/>
        <w:autoSpaceDN w:val="0"/>
      </w:pPr>
      <w:r>
        <w:rPr>
          <w:rFonts w:ascii="仿宋_GB2312" w:hAnsi="仿宋_GB2312" w:eastAsia="仿宋_GB2312"/>
          <w:b/>
          <w:sz w:val="32"/>
        </w:rPr>
        <w:t>一、财政拨款收入：</w:t>
      </w:r>
      <w:r>
        <w:rPr>
          <w:rFonts w:ascii="仿宋_GB2312" w:hAnsi="仿宋_GB2312" w:eastAsia="仿宋_GB2312"/>
          <w:b w:val="0"/>
          <w:sz w:val="32"/>
        </w:rPr>
        <w:t>指单位本年度从同级财政部门取得的财政拨款，包括一般公共预算财政拨款、政府性基金预算财政拨款和国有资本经营预算财政拨款。</w:t>
      </w:r>
    </w:p>
    <w:p>
      <w:pPr>
        <w:spacing w:lineRule="exact" w:line="600"/>
        <w:ind w:firstLine="643" w:firstLineChars="200"/>
        <w:autoSpaceDE w:val="0"/>
        <w:autoSpaceDN w:val="0"/>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Rule="exact" w:line="600"/>
        <w:ind w:firstLine="643" w:firstLineChars="200"/>
        <w:autoSpaceDE w:val="0"/>
        <w:autoSpaceDN w:val="0"/>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指事业单位开展专业业务活动及其辅助活动取得的收入。</w:t>
      </w:r>
    </w:p>
    <w:p>
      <w:pPr>
        <w:spacing w:lineRule="exact" w:line="600"/>
        <w:ind w:firstLine="643" w:firstLineChars="200"/>
        <w:autoSpaceDE w:val="0"/>
        <w:autoSpaceDN w:val="0"/>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Rule="exact" w:line="600"/>
        <w:ind w:firstLine="643" w:firstLineChars="200"/>
        <w:autoSpaceDE w:val="0"/>
        <w:autoSpaceDN w:val="0"/>
      </w:pPr>
      <w:r>
        <w:rPr>
          <w:rFonts w:ascii="仿宋_GB2312" w:hAnsi="仿宋_GB2312" w:eastAsia="仿宋_GB2312"/>
          <w:b/>
          <w:sz w:val="32"/>
        </w:rPr>
        <w:t>五、附属单位上缴收入：</w:t>
      </w:r>
      <w:r>
        <w:rPr>
          <w:rFonts w:ascii="仿宋_GB2312" w:hAnsi="仿宋_GB2312" w:eastAsia="仿宋_GB2312"/>
          <w:b w:val="0"/>
          <w:sz w:val="32"/>
        </w:rPr>
        <w:t>指事业单位附属独立核算单位按照有关规定上缴的收入。</w:t>
      </w:r>
    </w:p>
    <w:p>
      <w:pPr>
        <w:spacing w:lineRule="exact" w:line="600"/>
        <w:ind w:firstLine="643" w:firstLineChars="200"/>
        <w:autoSpaceDE w:val="0"/>
        <w:autoSpaceDN w:val="0"/>
      </w:pPr>
      <w:r>
        <w:rPr>
          <w:rFonts w:ascii="仿宋_GB2312" w:hAnsi="仿宋_GB2312" w:eastAsia="仿宋_GB2312"/>
          <w:b/>
          <w:sz w:val="32"/>
        </w:rPr>
        <w:t>六、其他收入：</w:t>
      </w:r>
      <w:r>
        <w:rPr>
          <w:rFonts w:ascii="仿宋_GB2312" w:hAnsi="仿宋_GB2312" w:eastAsia="仿宋_GB2312"/>
          <w:b w:val="0"/>
          <w:sz w:val="32"/>
        </w:rPr>
        <w:t>指单位取得的除上述“财政拨款收入”“上级补助收入”“事业收入”“经营收入”“附属单位上缴收入”以外的各项收入。</w:t>
      </w:r>
    </w:p>
    <w:p>
      <w:pPr>
        <w:spacing w:lineRule="exact" w:line="600"/>
        <w:ind w:firstLine="643" w:firstLineChars="200"/>
        <w:autoSpaceDE w:val="0"/>
        <w:autoSpaceDN w:val="0"/>
      </w:pPr>
      <w:r>
        <w:rPr>
          <w:rFonts w:ascii="仿宋_GB2312" w:hAnsi="仿宋_GB2312" w:eastAsia="仿宋_GB2312"/>
          <w:b/>
          <w:sz w:val="32"/>
        </w:rPr>
        <w:t>七、年初结转和结余：</w:t>
      </w:r>
      <w:r>
        <w:rPr>
          <w:rFonts w:ascii="仿宋_GB2312" w:hAnsi="仿宋_GB2312" w:eastAsia="仿宋_GB2312"/>
          <w:b w:val="0"/>
          <w:sz w:val="32"/>
        </w:rPr>
        <w:t>指单位上年结转本年使用的基本支出结转、项目支出结转和结余、经营结余。</w:t>
      </w:r>
    </w:p>
    <w:p>
      <w:pPr>
        <w:spacing w:lineRule="exact" w:line="600"/>
        <w:ind w:firstLine="643" w:firstLineChars="200"/>
        <w:autoSpaceDE w:val="0"/>
        <w:autoSpaceDN w:val="0"/>
      </w:pPr>
      <w:r>
        <w:rPr>
          <w:rFonts w:ascii="仿宋_GB2312" w:hAnsi="仿宋_GB2312" w:eastAsia="仿宋_GB2312"/>
          <w:b/>
          <w:sz w:val="32"/>
        </w:rPr>
        <w:t>八、使用非财政拨款结余（含专用结余）：</w:t>
      </w:r>
      <w:r>
        <w:rPr>
          <w:rFonts w:ascii="仿宋_GB2312" w:hAnsi="仿宋_GB2312" w:eastAsia="仿宋_GB2312"/>
          <w:b w:val="0"/>
          <w:sz w:val="32"/>
        </w:rPr>
        <w:t>指单位按照预算管理要求使用非财政拨款结余弥补收支差额的金额，以及使用专用结余安排支出的金额。</w:t>
      </w:r>
    </w:p>
    <w:p>
      <w:pPr>
        <w:spacing w:lineRule="exact" w:line="600"/>
        <w:ind w:firstLine="643" w:firstLineChars="200"/>
        <w:autoSpaceDE w:val="0"/>
        <w:autoSpaceDN w:val="0"/>
      </w:pPr>
      <w:r>
        <w:rPr>
          <w:rFonts w:ascii="仿宋_GB2312" w:hAnsi="仿宋_GB2312" w:eastAsia="仿宋_GB2312"/>
          <w:b/>
          <w:sz w:val="32"/>
        </w:rPr>
        <w:t>九、结余分配：</w:t>
      </w:r>
      <w:r>
        <w:rPr>
          <w:rFonts w:ascii="仿宋_GB2312" w:hAnsi="仿宋_GB2312" w:eastAsia="仿宋_GB2312"/>
          <w:b w:val="0"/>
          <w:sz w:val="32"/>
        </w:rPr>
        <w:t>指单位缴纳企业所得税以及从非财政拨款结余或经营结余中提取各类结余的情况。</w:t>
      </w:r>
    </w:p>
    <w:p>
      <w:pPr>
        <w:spacing w:lineRule="exact" w:line="600"/>
        <w:ind w:firstLine="643" w:firstLineChars="200"/>
        <w:autoSpaceDE w:val="0"/>
        <w:autoSpaceDN w:val="0"/>
      </w:pPr>
      <w:r>
        <w:rPr>
          <w:rFonts w:ascii="仿宋_GB2312" w:hAnsi="仿宋_GB2312" w:eastAsia="仿宋_GB2312"/>
          <w:b/>
          <w:sz w:val="32"/>
        </w:rPr>
        <w:t>十、年末结转和结余：</w:t>
      </w:r>
      <w:r>
        <w:rPr>
          <w:rFonts w:ascii="仿宋_GB2312" w:hAnsi="仿宋_GB2312" w:eastAsia="仿宋_GB2312"/>
          <w:b w:val="0"/>
          <w:sz w:val="32"/>
        </w:rPr>
        <w:t>指单位结转下年的基本支出结转、项目支出结转和结余、经营结余。</w:t>
      </w:r>
    </w:p>
    <w:p>
      <w:pPr>
        <w:spacing w:lineRule="exact" w:line="600"/>
        <w:ind w:firstLine="643" w:firstLineChars="200"/>
        <w:autoSpaceDE w:val="0"/>
        <w:autoSpaceDN w:val="0"/>
      </w:pPr>
      <w:r>
        <w:rPr>
          <w:rFonts w:ascii="仿宋_GB2312" w:hAnsi="仿宋_GB2312" w:eastAsia="仿宋_GB2312"/>
          <w:b/>
          <w:sz w:val="32"/>
        </w:rPr>
        <w:t>十一、基本支出：</w:t>
      </w:r>
      <w:r>
        <w:rPr>
          <w:rFonts w:ascii="仿宋_GB2312" w:hAnsi="仿宋_GB2312" w:eastAsia="仿宋_GB2312"/>
          <w:b w:val="0"/>
          <w:sz w:val="32"/>
        </w:rPr>
        <w:t>指单位为保障机构正常运转、完成日常工作任务而发生的各项支出。</w:t>
      </w:r>
    </w:p>
    <w:p>
      <w:pPr>
        <w:spacing w:lineRule="exact" w:line="600"/>
        <w:ind w:firstLine="643" w:firstLineChars="200"/>
        <w:autoSpaceDE w:val="0"/>
        <w:autoSpaceDN w:val="0"/>
      </w:pPr>
      <w:r>
        <w:rPr>
          <w:rFonts w:ascii="仿宋_GB2312" w:hAnsi="仿宋_GB2312" w:eastAsia="仿宋_GB2312"/>
          <w:b/>
          <w:sz w:val="32"/>
        </w:rPr>
        <w:t>十二、项目支出：</w:t>
      </w:r>
      <w:r>
        <w:rPr>
          <w:rFonts w:ascii="仿宋_GB2312" w:hAnsi="仿宋_GB2312" w:eastAsia="仿宋_GB2312"/>
          <w:b w:val="0"/>
          <w:sz w:val="32"/>
        </w:rPr>
        <w:t>指单位为完成特定的行政工作任务或事业发展目标，在基本支出之外发生的各项支出。</w:t>
      </w:r>
    </w:p>
    <w:p>
      <w:pPr>
        <w:spacing w:lineRule="exact" w:line="600"/>
        <w:ind w:firstLine="643" w:firstLineChars="200"/>
        <w:autoSpaceDE w:val="0"/>
        <w:autoSpaceDN w:val="0"/>
      </w:pPr>
      <w:r>
        <w:rPr>
          <w:rFonts w:ascii="仿宋_GB2312" w:hAnsi="仿宋_GB2312" w:eastAsia="仿宋_GB2312"/>
          <w:b/>
          <w:sz w:val="32"/>
        </w:rPr>
        <w:t>十三、上缴上级支出：</w:t>
      </w:r>
      <w:r>
        <w:rPr>
          <w:rFonts w:ascii="仿宋_GB2312" w:hAnsi="仿宋_GB2312" w:eastAsia="仿宋_GB2312"/>
          <w:b w:val="0"/>
          <w:sz w:val="32"/>
        </w:rPr>
        <w:t>指事业单位按照财政部门和主管部门的规定上缴上级单位的支出。</w:t>
      </w:r>
    </w:p>
    <w:p>
      <w:pPr>
        <w:spacing w:lineRule="exact" w:line="600"/>
        <w:ind w:firstLine="643" w:firstLineChars="200"/>
        <w:autoSpaceDE w:val="0"/>
        <w:autoSpaceDN w:val="0"/>
      </w:pPr>
      <w:r>
        <w:rPr>
          <w:rFonts w:ascii="仿宋_GB2312" w:hAnsi="仿宋_GB2312" w:eastAsia="仿宋_GB2312"/>
          <w:b/>
          <w:sz w:val="32"/>
        </w:rPr>
        <w:t>十四、经营支出：</w:t>
      </w:r>
      <w:r>
        <w:rPr>
          <w:rFonts w:ascii="仿宋_GB2312" w:hAnsi="仿宋_GB2312" w:eastAsia="仿宋_GB2312"/>
          <w:b w:val="0"/>
          <w:sz w:val="32"/>
        </w:rPr>
        <w:t>指事业单位在专业活动及辅助活动之外开展非独立核算经营活动发生的支出。</w:t>
      </w:r>
    </w:p>
    <w:p>
      <w:pPr>
        <w:spacing w:lineRule="exact" w:line="600"/>
        <w:ind w:firstLine="643" w:firstLineChars="200"/>
        <w:autoSpaceDE w:val="0"/>
        <w:autoSpaceDN w:val="0"/>
      </w:pPr>
      <w:r>
        <w:rPr>
          <w:rFonts w:ascii="仿宋_GB2312" w:hAnsi="仿宋_GB2312" w:eastAsia="仿宋_GB2312"/>
          <w:b/>
          <w:sz w:val="32"/>
        </w:rPr>
        <w:t>十五、对附属单位补助支出：</w:t>
      </w:r>
      <w:r>
        <w:rPr>
          <w:rFonts w:ascii="仿宋_GB2312" w:hAnsi="仿宋_GB2312" w:eastAsia="仿宋_GB2312"/>
          <w:b w:val="0"/>
          <w:sz w:val="32"/>
        </w:rPr>
        <w:t>指事业单位用财政补助收入之外的收入对附属单位补助发生的支出。</w:t>
      </w:r>
    </w:p>
    <w:p>
      <w:pPr>
        <w:spacing w:lineRule="exact" w:line="600"/>
        <w:ind w:firstLine="643" w:firstLineChars="200"/>
        <w:autoSpaceDE w:val="0"/>
        <w:autoSpaceDN w:val="0"/>
      </w:pPr>
      <w:r>
        <w:rPr>
          <w:rFonts w:ascii="仿宋_GB2312" w:hAnsi="仿宋_GB2312" w:eastAsia="仿宋_GB2312"/>
          <w:b/>
          <w:sz w:val="32"/>
        </w:rPr>
        <w:t>十六、“三公”经费：</w:t>
      </w:r>
      <w:r>
        <w:rPr>
          <w:rFonts w:ascii="仿宋_GB2312" w:hAnsi="仿宋_GB2312" w:eastAsia="仿宋_GB2312"/>
          <w:b w:val="0"/>
          <w:sz w:val="32"/>
        </w:rPr>
        <w:t>指单位使用财政拨款安排的因公出国（境）费用、公务用车购置及运行维护费和公务接待费。其中，因公出国（境）费用反映单位公务出国（境）的国际旅费、国外城市间交通费、住宿费、伙食费、培训费、公杂费等支出；公务用车购置费反映公务用车购置支出（含车辆购置税、牌照费）；公务用车运行维护费反映单位按规定保留的公务用车燃料费、新能源汽车充电费、维修费、过路过桥费、保险费、安全奖励费用等支出；公务接待费反映单位按规定开支的各类公务接待（含外宾接待）费用。</w:t>
      </w:r>
    </w:p>
    <w:p>
      <w:pPr>
        <w:spacing w:lineRule="exact" w:line="600"/>
        <w:ind w:firstLine="643" w:firstLineChars="200"/>
        <w:autoSpaceDE w:val="0"/>
        <w:autoSpaceDN w:val="0"/>
      </w:pPr>
      <w:r>
        <w:rPr>
          <w:rFonts w:ascii="仿宋_GB2312" w:hAnsi="仿宋_GB2312" w:eastAsia="仿宋_GB2312"/>
          <w:b/>
          <w:sz w:val="32"/>
        </w:rPr>
        <w:t>十七、机关运行经费：</w:t>
      </w:r>
      <w:r>
        <w:rPr>
          <w:rFonts w:ascii="仿宋_GB2312" w:hAnsi="仿宋_GB2312" w:eastAsia="仿宋_GB2312"/>
          <w:b w:val="0"/>
          <w:sz w:val="32"/>
        </w:rPr>
        <w:t>指行政单位和参照公务员法管理的事业单位财政拨款基本支出中的公用经费支出。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Rule="exact" w:line="600"/>
        <w:ind w:firstLine="643" w:firstLineChars="200"/>
        <w:autoSpaceDE w:val="0"/>
        <w:autoSpaceDN w:val="0"/>
      </w:pPr>
      <w:r>
        <w:rPr>
          <w:rFonts w:ascii="仿宋_GB2312" w:hAnsi="仿宋_GB2312" w:eastAsia="仿宋_GB2312"/>
          <w:b w:val="0"/>
          <w:sz w:val="32"/>
        </w:rPr>
        <w:t>一、《收入支出决算总表》</w:t>
      </w:r>
    </w:p>
    <w:p>
      <w:pPr>
        <w:spacing w:lineRule="exact" w:line="600"/>
        <w:ind w:firstLine="643" w:firstLineChars="200"/>
        <w:autoSpaceDE w:val="0"/>
        <w:autoSpaceDN w:val="0"/>
      </w:pPr>
      <w:r>
        <w:rPr>
          <w:rFonts w:ascii="仿宋_GB2312" w:hAnsi="仿宋_GB2312" w:eastAsia="仿宋_GB2312"/>
          <w:b w:val="0"/>
          <w:sz w:val="32"/>
        </w:rPr>
        <w:t>二、《收入决算表》</w:t>
      </w:r>
    </w:p>
    <w:p>
      <w:pPr>
        <w:spacing w:lineRule="exact" w:line="600"/>
        <w:ind w:firstLine="643" w:firstLineChars="200"/>
        <w:autoSpaceDE w:val="0"/>
        <w:autoSpaceDN w:val="0"/>
      </w:pPr>
      <w:r>
        <w:rPr>
          <w:rFonts w:ascii="仿宋_GB2312" w:hAnsi="仿宋_GB2312" w:eastAsia="仿宋_GB2312"/>
          <w:b w:val="0"/>
          <w:sz w:val="32"/>
        </w:rPr>
        <w:t>三、《支出决算表》</w:t>
      </w:r>
    </w:p>
    <w:p>
      <w:pPr>
        <w:spacing w:lineRule="exact" w:line="600"/>
        <w:ind w:firstLine="643" w:firstLineChars="200"/>
        <w:autoSpaceDE w:val="0"/>
        <w:autoSpaceDN w:val="0"/>
      </w:pPr>
      <w:r>
        <w:rPr>
          <w:rFonts w:ascii="仿宋_GB2312" w:hAnsi="仿宋_GB2312" w:eastAsia="仿宋_GB2312"/>
          <w:b w:val="0"/>
          <w:sz w:val="32"/>
        </w:rPr>
        <w:t>四、《财政拨款收入支出决算总表》</w:t>
      </w:r>
    </w:p>
    <w:p>
      <w:pPr>
        <w:spacing w:lineRule="exact" w:line="600"/>
        <w:ind w:firstLine="643" w:firstLineChars="200"/>
        <w:autoSpaceDE w:val="0"/>
        <w:autoSpaceDN w:val="0"/>
      </w:pPr>
      <w:r>
        <w:rPr>
          <w:rFonts w:ascii="仿宋_GB2312" w:hAnsi="仿宋_GB2312" w:eastAsia="仿宋_GB2312"/>
          <w:b w:val="0"/>
          <w:sz w:val="32"/>
        </w:rPr>
        <w:t>五、《一般公共预算财政拨款支出决算表》</w:t>
      </w:r>
    </w:p>
    <w:p>
      <w:pPr>
        <w:spacing w:lineRule="exact" w:line="600"/>
        <w:ind w:firstLine="643" w:firstLineChars="200"/>
        <w:autoSpaceDE w:val="0"/>
        <w:autoSpaceDN w:val="0"/>
      </w:pPr>
      <w:r>
        <w:rPr>
          <w:rFonts w:ascii="仿宋_GB2312" w:hAnsi="仿宋_GB2312" w:eastAsia="仿宋_GB2312"/>
          <w:b w:val="0"/>
          <w:sz w:val="32"/>
        </w:rPr>
        <w:t>六、《一般公共预算财政拨款基本支出决算表》</w:t>
      </w:r>
    </w:p>
    <w:p>
      <w:pPr>
        <w:spacing w:lineRule="exact" w:line="600"/>
        <w:ind w:firstLine="643" w:firstLineChars="200"/>
        <w:autoSpaceDE w:val="0"/>
        <w:autoSpaceDN w:val="0"/>
      </w:pPr>
      <w:r>
        <w:rPr>
          <w:rFonts w:ascii="仿宋_GB2312" w:hAnsi="仿宋_GB2312" w:eastAsia="仿宋_GB2312"/>
          <w:b w:val="0"/>
          <w:sz w:val="32"/>
        </w:rPr>
        <w:t>七、《政府性基金预算财政拨款收入支出决算表》</w:t>
      </w:r>
    </w:p>
    <w:p>
      <w:pPr>
        <w:spacing w:lineRule="exact" w:line="600"/>
        <w:ind w:firstLine="643" w:firstLineChars="200"/>
        <w:autoSpaceDE w:val="0"/>
        <w:autoSpaceDN w:val="0"/>
      </w:pPr>
      <w:r>
        <w:rPr>
          <w:rFonts w:ascii="仿宋_GB2312" w:hAnsi="仿宋_GB2312" w:eastAsia="仿宋_GB2312"/>
          <w:b w:val="0"/>
          <w:sz w:val="32"/>
        </w:rPr>
        <w:t>八、《国有资本经营预算财政拨款收入支出决算表》</w:t>
      </w:r>
    </w:p>
    <w:p>
      <w:pPr>
        <w:spacing w:lineRule="exact" w:line="600"/>
        <w:ind w:firstLine="643" w:firstLineChars="200"/>
        <w:autoSpaceDE w:val="0"/>
        <w:autoSpaceDN w:val="0"/>
      </w:pPr>
      <w:r>
        <w:rPr>
          <w:rFonts w:ascii="仿宋_GB2312" w:hAnsi="仿宋_GB2312" w:eastAsia="仿宋_GB2312"/>
          <w:b w:val="0"/>
          <w:sz w:val="32"/>
        </w:rPr>
        <w:t>九、《财政拨款“三公”经费支出决算表》</w:t>
      </w:r>
    </w:p>
    <w:p>
      <w:pPr>
        <w:spacing w:lineRule="exact" w:line="600"/>
        <w:ind w:firstLine="643" w:firstLineChars="200"/>
        <w:autoSpaceDE w:val="0"/>
        <w:autoSpaceDN w:val="0"/>
      </w:pPr>
    </w:p>
    <w:p>
      <w:pPr>
        <w:spacing w:lineRule="exact" w:line="600"/>
        <w:ind w:firstLine="643" w:firstLineChars="200"/>
        <w:autoSpaceDE w:val="0"/>
        <w:autoSpaceDN w:val="0"/>
      </w:pPr>
    </w:p>
    <w:p>
      <w:pPr>
        <w:spacing w:lineRule="exact" w:line="600"/>
        <w:ind w:firstLine="643" w:firstLineChars="200"/>
        <w:autoSpaceDE w:val="0"/>
        <w:autoSpaceDN w:val="0"/>
      </w:pPr>
    </w:p>
    <w:p>
      <w:pPr>
        <w:spacing w:lineRule="exact" w:line="600"/>
        <w:ind w:firstLine="643" w:firstLineChars="200"/>
        <w:autoSpaceDE w:val="0"/>
        <w:autoSpaceDN w:val="0"/>
      </w:pPr>
    </w:p>
    <w:p>
      <w:pPr>
        <w:spacing w:lineRule="exact" w:line="600"/>
        <w:ind w:firstLine="643" w:firstLineChars="200"/>
        <w:autoSpaceDE w:val="0"/>
        <w:autoSpaceDN w:val="0"/>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EA382358-5FB0-4BFB-AA9D-340FD89383CE}"/>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altName w:val="微软雅黑"/>
    <w:panose1 w:val="00000000000000000000"/>
    <w:charset w:val="86"/>
    <w:family w:val="script"/>
    <w:pitch w:val="default"/>
    <w:sig w:usb0="00000000" w:usb1="00000000" w:usb2="00082016" w:usb3="00000000" w:csb0="00040001" w:csb1="00000000"/>
    <w:embedRegular r:id="rId2" w:fontKey="{B0E6D792-6E8F-4F84-99FA-9970FA3A7C22}"/>
  </w:font>
  <w:font w:name="仿宋_GB2312">
    <w:altName w:val="微软雅黑"/>
    <w:panose1 w:val="02010609030101010101"/>
    <w:charset w:val="86"/>
    <w:family w:val="modern"/>
    <w:pitch w:val="default"/>
    <w:sig w:usb0="00000001" w:usb1="080E0000" w:usb2="00000000" w:usb3="00000000" w:csb0="00040000" w:csb1="00000000"/>
    <w:embedRegular r:id="rId3" w:fontKey="{45C515A8-30E2-40B7-BB08-E73601327DDD}"/>
  </w:font>
  <w:font w:name="微软雅黑">
    <w:panose1 w:val="020B0503020204020204"/>
    <w:charset w:val="86"/>
    <w:family w:val="auto"/>
    <w:pitch w:val="default"/>
    <w:sig w:usb0="80000287" w:usb1="2ACF3C50" w:usb2="00000016" w:usb3="00000000" w:csb0="0004001F" w:csb1="00000000"/>
  </w:font>
  <w:font w:name="KSOF8080F95D">
    <w:panose1 w:val="020B0503020204020204"/>
    <w:charset w:val="86"/>
    <w:family w:val="auto"/>
    <w:pitch w:val="default"/>
    <w:sig w:usb0="00000001" w:usb1="00000000" w:usb2="00000000" w:usb3="00000000" w:csb0="00040001" w:csb1="00000000"/>
  </w:font>
  <w:font w:name="WPSEMBED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1994FD">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06890CC">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OqXm5zwAAAAUBAAAPAAAAAAAAAAEAIAAAACIAAABk&#10;cnMvZG93bnJldi54bWxQSwECFAAUAAAACACHTuJA6rY5ptYBAACyAwAADgAAAAAAAAABACAAAAAe&#10;AQAAZHJzL2Uyb0RvYy54bWxQSwUGAAAAAAYABgBZAQAAZgUAAAAA&#10;">
              <v:fill on="f" focussize="0,0"/>
              <v:stroke on="f"/>
              <v:imagedata o:title=""/>
              <o:lock v:ext="edit" aspectratio="f"/>
              <v:textbox inset="0mm,0mm,0mm,0mm" style="mso-fit-shape-to-text:t;">
                <w:txbxContent>
                  <w:p w14:paraId="106890CC">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AwYmRmZTlkODBlYWI2MWEzOGMyNWRlOTFmY2QzMTQifQ=="/>
  </w:docVars>
  <w:rsids>
    <w:rsidRoot w:val="00672051"/>
    <w:rsid w:val="000D14C6"/>
    <w:rsid w:val="002D017C"/>
    <w:rsid w:val="0039186B"/>
    <w:rsid w:val="00644722"/>
    <w:rsid w:val="00672051"/>
    <w:rsid w:val="006B29E4"/>
    <w:rsid w:val="00702FBA"/>
    <w:rsid w:val="00982448"/>
    <w:rsid w:val="009D5C6A"/>
    <w:rsid w:val="00A22425"/>
    <w:rsid w:val="00D34B7C"/>
    <w:rsid w:val="00F14B19"/>
    <w:rsid w:val="02F73D26"/>
    <w:rsid w:val="034D4FEF"/>
    <w:rsid w:val="03DE0026"/>
    <w:rsid w:val="03E2747C"/>
    <w:rsid w:val="043E5B56"/>
    <w:rsid w:val="04EF7C1A"/>
    <w:rsid w:val="06792773"/>
    <w:rsid w:val="06896151"/>
    <w:rsid w:val="09A729D8"/>
    <w:rsid w:val="0A7B4867"/>
    <w:rsid w:val="0AC260D6"/>
    <w:rsid w:val="0B8C3ECC"/>
    <w:rsid w:val="0BC24C29"/>
    <w:rsid w:val="0C3613A3"/>
    <w:rsid w:val="0C7227A7"/>
    <w:rsid w:val="0DCA6EF7"/>
    <w:rsid w:val="0E4B1576"/>
    <w:rsid w:val="11E15093"/>
    <w:rsid w:val="120E0809"/>
    <w:rsid w:val="181A30AD"/>
    <w:rsid w:val="1875698D"/>
    <w:rsid w:val="19071D6C"/>
    <w:rsid w:val="1C317E4F"/>
    <w:rsid w:val="1C472464"/>
    <w:rsid w:val="1DAF458D"/>
    <w:rsid w:val="1E086ACE"/>
    <w:rsid w:val="1EAA4A5F"/>
    <w:rsid w:val="1F040613"/>
    <w:rsid w:val="1F587A0B"/>
    <w:rsid w:val="1FE96E5D"/>
    <w:rsid w:val="2064678E"/>
    <w:rsid w:val="20DD6197"/>
    <w:rsid w:val="21F317F2"/>
    <w:rsid w:val="2241392C"/>
    <w:rsid w:val="23BC04D2"/>
    <w:rsid w:val="25275618"/>
    <w:rsid w:val="27CF2642"/>
    <w:rsid w:val="282459E2"/>
    <w:rsid w:val="2A053397"/>
    <w:rsid w:val="2A444FB1"/>
    <w:rsid w:val="2A6064E2"/>
    <w:rsid w:val="2BA9200B"/>
    <w:rsid w:val="2D1136DF"/>
    <w:rsid w:val="2DAE0E44"/>
    <w:rsid w:val="2EB07E70"/>
    <w:rsid w:val="2F9E416C"/>
    <w:rsid w:val="2FD27414"/>
    <w:rsid w:val="313F1D52"/>
    <w:rsid w:val="318029AB"/>
    <w:rsid w:val="319D6C1C"/>
    <w:rsid w:val="31C63837"/>
    <w:rsid w:val="326F0A17"/>
    <w:rsid w:val="34623382"/>
    <w:rsid w:val="390019F4"/>
    <w:rsid w:val="3914510A"/>
    <w:rsid w:val="3B1220C9"/>
    <w:rsid w:val="3D5275AC"/>
    <w:rsid w:val="3D55093B"/>
    <w:rsid w:val="3EA7725F"/>
    <w:rsid w:val="40834692"/>
    <w:rsid w:val="423A32B2"/>
    <w:rsid w:val="464B7E04"/>
    <w:rsid w:val="46901EEE"/>
    <w:rsid w:val="469C74D2"/>
    <w:rsid w:val="47445515"/>
    <w:rsid w:val="48E21116"/>
    <w:rsid w:val="49C97D5C"/>
    <w:rsid w:val="49F5131D"/>
    <w:rsid w:val="4AE426AE"/>
    <w:rsid w:val="4B4C0111"/>
    <w:rsid w:val="4D3F1CC6"/>
    <w:rsid w:val="4D730311"/>
    <w:rsid w:val="505A358E"/>
    <w:rsid w:val="50DB5F45"/>
    <w:rsid w:val="52F92565"/>
    <w:rsid w:val="55DA564E"/>
    <w:rsid w:val="56E07045"/>
    <w:rsid w:val="583059FA"/>
    <w:rsid w:val="587E6212"/>
    <w:rsid w:val="58D10A34"/>
    <w:rsid w:val="59973ABF"/>
    <w:rsid w:val="5A74678C"/>
    <w:rsid w:val="5AFC6609"/>
    <w:rsid w:val="5C3B09A8"/>
    <w:rsid w:val="5FA17648"/>
    <w:rsid w:val="613409CB"/>
    <w:rsid w:val="61A46A97"/>
    <w:rsid w:val="62DD7D21"/>
    <w:rsid w:val="65D97752"/>
    <w:rsid w:val="664C500C"/>
    <w:rsid w:val="670267B3"/>
    <w:rsid w:val="6773145F"/>
    <w:rsid w:val="68DB0208"/>
    <w:rsid w:val="69846A0E"/>
    <w:rsid w:val="69AD798C"/>
    <w:rsid w:val="6B68175F"/>
    <w:rsid w:val="6B8B5C99"/>
    <w:rsid w:val="6E0F7A08"/>
    <w:rsid w:val="6E801ABC"/>
    <w:rsid w:val="71473612"/>
    <w:rsid w:val="716B13F9"/>
    <w:rsid w:val="718F7F65"/>
    <w:rsid w:val="73423603"/>
    <w:rsid w:val="73DE4104"/>
    <w:rsid w:val="73FB6630"/>
    <w:rsid w:val="74CE04EC"/>
    <w:rsid w:val="74E76DCD"/>
    <w:rsid w:val="76660D7C"/>
    <w:rsid w:val="76CF72D3"/>
    <w:rsid w:val="77ED6F44"/>
    <w:rsid w:val="78B87A58"/>
    <w:rsid w:val="795A0A34"/>
    <w:rsid w:val="79FB30B5"/>
    <w:rsid w:val="7A0D3BC7"/>
    <w:rsid w:val="7A3A3CDB"/>
    <w:rsid w:val="7EAC4F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9">
    <w:name w:val="Default Paragraph Font"/>
    <w:semiHidden/>
    <w:unhideWhenUsed/>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customStyle="1" w:styleId="10">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1">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2">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0D2BC71-196F-4E8D-B958-07750D1EE8B3}">
  <ds:schemaRefs/>
</ds:datastoreItem>
</file>

<file path=docProps/app.xml><?xml version="1.0" encoding="utf-8"?>
<Properties xmlns="http://schemas.openxmlformats.org/officeDocument/2006/extended-properties" xmlns:vt="http://schemas.openxmlformats.org/officeDocument/2006/docPropsVTypes">
  <Template>Normal.dotm</Template>
  <Pages>3</Pages>
  <Words>519</Words>
  <Characters>537</Characters>
  <Lines>10</Lines>
  <Paragraphs>2</Paragraphs>
  <TotalTime>7</TotalTime>
  <ScaleCrop>false</ScaleCrop>
  <LinksUpToDate>false</LinksUpToDate>
  <CharactersWithSpaces>543</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2026-07-22T07:37:00Z</dcterms:created>
  <dc:creator>GXR</dc:creator>
  <cp:lastModifiedBy>净</cp:lastModifiedBy>
  <cp:lastPrinted>2024-07-22T11:58:00Z</cp:lastPrinted>
  <dcterms:modified xsi:type="dcterms:W3CDTF">2026-08-25T03:09:34Z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8FDA567F26D84A8C8A1B02E29FDE1AE6_13</vt:lpwstr>
  </property>
  <property fmtid="{D5CDD505-2E9C-101B-9397-08002B2CF9AE}" pid="4" name="KSOTemplateDocerSaveRecord">
    <vt:lpwstr>eyJoZGlkIjoiYzdkNWY5OGM4OTRiMDBlYmMyNmZmZGZhMDgxMzY1MzQiLCJ1c2VySWQiOiI0MDU5MTQxNzUifQ==</vt:lpwstr>
  </property>
</Properties>
</file>