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吉木萨尔县老台乡小学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bookmarkStart w:id="0" w:name="_GoBack"/>
      <w:bookmarkEnd w:id="0"/>
      <w:r>
        <w:rPr>
          <w:rFonts w:hint="eastAsia" w:ascii="方正小标宋_GBK" w:hAnsi="宋体" w:eastAsia="方正小标宋_GBK"/>
          <w:sz w:val="44"/>
          <w:szCs w:val="44"/>
        </w:rPr>
        <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（1）、实施小学教育、促进基础教育发展。</w:t>
      </w:r>
    </w:p>
    <w:p>
      <w:pPr>
        <w:spacing w:line="580" w:lineRule="exact"/>
        <w:ind w:firstLine="640"/>
        <w:jc w:val="both"/>
      </w:pPr>
      <w:r>
        <w:rPr>
          <w:rFonts w:ascii="仿宋_GB2312" w:hAnsi="仿宋_GB2312" w:eastAsia="仿宋_GB2312"/>
          <w:sz w:val="32"/>
        </w:rPr>
        <w:t>（2）、认真完成普及初等教育的任务，严格执行小学教学大纲，保证完成小学教育，力争“四率”均达到省教委要求；按教育规律办事，坚持“德、智、体、美、劳”全面发展；积极进行教育思想、教学内容、教学方法和教育手段的改革；为初中输送合格的新生。</w:t>
      </w:r>
    </w:p>
    <w:p>
      <w:pPr>
        <w:spacing w:line="580" w:lineRule="exact"/>
        <w:ind w:firstLine="640"/>
        <w:jc w:val="both"/>
      </w:pPr>
      <w:r>
        <w:rPr>
          <w:rFonts w:ascii="仿宋_GB2312" w:hAnsi="仿宋_GB2312" w:eastAsia="仿宋_GB2312"/>
          <w:sz w:val="32"/>
        </w:rPr>
        <w:t>（3）、积极开展以普及为主的课外群体活动和体育传统项目运动队的训练；开展以预防为主、防治结合的卫生保健工作，做好常见病、多发病的预防和矫治。</w:t>
      </w:r>
    </w:p>
    <w:p>
      <w:pPr>
        <w:spacing w:line="580" w:lineRule="exact"/>
        <w:ind w:firstLine="640"/>
        <w:jc w:val="both"/>
      </w:pPr>
      <w:r>
        <w:rPr>
          <w:rFonts w:ascii="仿宋_GB2312" w:hAnsi="仿宋_GB2312" w:eastAsia="仿宋_GB2312"/>
          <w:sz w:val="32"/>
        </w:rPr>
        <w:t>（4）、学前教育的职能是把人类历史上积累的知识、经验、技能、思维方式、精神文明、优良素质、民族传统等，有计划、有组织、有目的地传播给下一代，培养为社会服务的人。依据幼儿身心发展规律及其需求全面促进幼儿素质和谐发展，为幼儿入小学打好基础，为造就一代新人打好基础。</w:t>
      </w:r>
    </w:p>
    <w:p>
      <w:pPr>
        <w:spacing w:line="640" w:lineRule="exact"/>
        <w:ind w:firstLine="640"/>
        <w:jc w:val="both"/>
        <w:outlineLvl w:val="2"/>
      </w:pPr>
      <w:r>
        <w:rPr>
          <w:rFonts w:ascii="黑体" w:hAnsi="黑体" w:eastAsia="黑体"/>
          <w:sz w:val="32"/>
        </w:rPr>
        <w:t>二、机构设置</w:t>
      </w:r>
    </w:p>
    <w:p>
      <w:pPr>
        <w:spacing w:line="580" w:lineRule="exact"/>
        <w:ind w:firstLine="640"/>
        <w:jc w:val="both"/>
      </w:pPr>
      <w:r>
        <w:rPr>
          <w:rFonts w:ascii="仿宋_GB2312" w:hAnsi="仿宋_GB2312" w:eastAsia="仿宋_GB2312"/>
          <w:sz w:val="32"/>
        </w:rPr>
        <w:t>吉木萨尔县老台乡小学无下属预算单位。</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2025年度收入总计1,616.82万元，</w:t>
      </w:r>
      <w:r>
        <w:rPr>
          <w:rFonts w:ascii="仿宋_GB2312" w:hAnsi="仿宋_GB2312" w:eastAsia="仿宋_GB2312"/>
          <w:b w:val="0"/>
          <w:sz w:val="32"/>
        </w:rPr>
        <w:t>其中：本年收入合计1,579.91万元，使用非财政拨款结余（含专用结余）0.00万元，年初结转和结余36.92万元。</w:t>
      </w:r>
    </w:p>
    <w:p>
      <w:pPr>
        <w:spacing w:line="580" w:lineRule="exact"/>
        <w:ind w:firstLine="640"/>
        <w:jc w:val="both"/>
      </w:pPr>
      <w:r>
        <w:rPr>
          <w:rFonts w:ascii="仿宋_GB2312" w:hAnsi="仿宋_GB2312" w:eastAsia="仿宋_GB2312"/>
          <w:b/>
          <w:sz w:val="32"/>
        </w:rPr>
        <w:t>2025年度支出总计1,616.82万元，</w:t>
      </w:r>
      <w:r>
        <w:rPr>
          <w:rFonts w:ascii="仿宋_GB2312" w:hAnsi="仿宋_GB2312" w:eastAsia="仿宋_GB2312"/>
          <w:b w:val="0"/>
          <w:sz w:val="32"/>
        </w:rPr>
        <w:t>其中：本年支出合计1,566.38万元，结余分配0.00万元，年末结转和结余50.44万元。</w:t>
      </w:r>
    </w:p>
    <w:p>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增加244.35万元，增长17.80%，主要原因是：本年在职人员工资调增，社保、公积金基数调增，人员经费增加。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本年收入1,579.91万元，</w:t>
      </w:r>
      <w:r>
        <w:rPr>
          <w:rFonts w:ascii="仿宋_GB2312" w:hAnsi="仿宋_GB2312" w:eastAsia="仿宋_GB2312"/>
          <w:b w:val="0"/>
          <w:sz w:val="32"/>
        </w:rPr>
        <w:t>其中：财政拨款收入1,558.85万元，占98.67%；上级补助收入0.00万元，占0.00%；事业收入0.00万元，占0.00%；经营收入0.00万元，占0.00%；附属单位上缴收入0.00万元，占0.00%；其他收入21.06万元，占1.33%。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本年支出1,566.38万元，</w:t>
      </w:r>
      <w:r>
        <w:rPr>
          <w:rFonts w:ascii="仿宋_GB2312" w:hAnsi="仿宋_GB2312" w:eastAsia="仿宋_GB2312"/>
          <w:b w:val="0"/>
          <w:sz w:val="32"/>
        </w:rPr>
        <w:t>其中：基本支出1,402.55万元，占89.54%；项目支出163.84万元，占10.46%；上缴上级支出0.00万元，占0.00%；经营支出0.00万元，占0.00%；对附属单位补助支出0.00万元，占0.00%。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2025年度财政拨款收入总计1,558.85万元，</w:t>
      </w:r>
      <w:r>
        <w:rPr>
          <w:rFonts w:ascii="仿宋_GB2312" w:hAnsi="仿宋_GB2312" w:eastAsia="仿宋_GB2312"/>
          <w:b w:val="0"/>
          <w:sz w:val="32"/>
        </w:rPr>
        <w:t>其中：年初财政拨款结转和结余0.00万元，本年财政拨款收入1,558.85万元。</w:t>
      </w:r>
      <w:r>
        <w:rPr>
          <w:rFonts w:ascii="仿宋_GB2312" w:hAnsi="仿宋_GB2312" w:eastAsia="仿宋_GB2312"/>
          <w:b/>
          <w:sz w:val="32"/>
        </w:rPr>
        <w:t>财政拨款支出总计1,558.85万元，</w:t>
      </w:r>
      <w:r>
        <w:rPr>
          <w:rFonts w:ascii="仿宋_GB2312" w:hAnsi="仿宋_GB2312" w:eastAsia="仿宋_GB2312"/>
          <w:b w:val="0"/>
          <w:sz w:val="32"/>
        </w:rPr>
        <w:t>其中：年末财政拨款结转和结余0.00万元，本年财政拨款支出1,558.85万元。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增加191.54万元，增长14.01%，主要原因是：本年在职人员工资调增，社保、公积金基数调增，人员经费增加。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年初预算数1,316.69万元，决算数1,558.85万元，预决算差异率18.39%，主要原因是：年中追加人员工资、社保、公积金基数调增部分资金，导致预决算存在差异。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义务教育办学、校园运转、学生资助等重点支出，体现在有关支出科目中。</w:t>
      </w:r>
    </w:p>
    <w:p>
      <w:pPr>
        <w:spacing w:line="580" w:lineRule="exact"/>
        <w:ind w:firstLine="640"/>
        <w:jc w:val="both"/>
      </w:pPr>
      <w:r>
        <w:rPr>
          <w:rFonts w:ascii="仿宋_GB2312" w:hAnsi="仿宋_GB2312" w:eastAsia="仿宋_GB2312"/>
          <w:b w:val="0"/>
          <w:sz w:val="32"/>
        </w:rPr>
        <w:t>按照支出功能分类，教育支出（类）普通教育（款）小学教育（项）的支出占本年财政拨款支出总额的比重最高，2025年度决算数为1,333.46万元，占比85.54%，主要用于人员经费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 公用经费包括：办公费、电费、差旅费、培训费、工会经费。。</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2025年度一般公共预算财政拨款支出1,558.85万元，</w:t>
      </w:r>
      <w:r>
        <w:rPr>
          <w:rFonts w:ascii="仿宋_GB2312" w:hAnsi="仿宋_GB2312" w:eastAsia="仿宋_GB2312"/>
          <w:b w:val="0"/>
          <w:sz w:val="32"/>
        </w:rPr>
        <w:t>占本年支出合计的99.52%。</w:t>
      </w:r>
      <w:r>
        <w:rPr>
          <w:rFonts w:ascii="仿宋_GB2312" w:hAnsi="仿宋_GB2312" w:eastAsia="仿宋_GB2312"/>
          <w:b/>
          <w:sz w:val="32"/>
        </w:rPr>
        <w:t>与上年相比，</w:t>
      </w:r>
      <w:r>
        <w:rPr>
          <w:rFonts w:ascii="仿宋_GB2312" w:hAnsi="仿宋_GB2312" w:eastAsia="仿宋_GB2312"/>
          <w:b w:val="0"/>
          <w:sz w:val="32"/>
        </w:rPr>
        <w:t>增加191.54万元，增长14.01%，主要原因是：本年在职人员工资调增，社保、公积金基数调增，人员经费增加。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年初预算数1,316.69万元，决算数1,558.85万元，预决算差异率18.39%，主要原因是：年中追加人员工资、社保、公积金基数调增部分资金，导致预决算存在差异。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1.教育支出（类）1,497.83万元，占96.09%。</w:t>
      </w:r>
    </w:p>
    <w:p>
      <w:pPr>
        <w:spacing w:line="580" w:lineRule="exact"/>
        <w:ind w:firstLine="640"/>
        <w:jc w:val="both"/>
      </w:pPr>
      <w:r>
        <w:rPr>
          <w:rFonts w:ascii="仿宋_GB2312" w:hAnsi="仿宋_GB2312" w:eastAsia="仿宋_GB2312"/>
          <w:b w:val="0"/>
          <w:sz w:val="32"/>
        </w:rPr>
        <w:t>2.社会保障和就业支出（类）30.46万元，占1.95%。</w:t>
      </w:r>
    </w:p>
    <w:p>
      <w:pPr>
        <w:spacing w:line="580" w:lineRule="exact"/>
        <w:ind w:firstLine="640"/>
        <w:jc w:val="both"/>
      </w:pPr>
      <w:r>
        <w:rPr>
          <w:rFonts w:ascii="仿宋_GB2312" w:hAnsi="仿宋_GB2312" w:eastAsia="仿宋_GB2312"/>
          <w:b w:val="0"/>
          <w:sz w:val="32"/>
        </w:rPr>
        <w:t>3.卫生健康支出（类）15.72万元，占1.01%。</w:t>
      </w:r>
    </w:p>
    <w:p>
      <w:pPr>
        <w:spacing w:line="580" w:lineRule="exact"/>
        <w:ind w:firstLine="640"/>
        <w:jc w:val="both"/>
      </w:pPr>
      <w:r>
        <w:rPr>
          <w:rFonts w:ascii="仿宋_GB2312" w:hAnsi="仿宋_GB2312" w:eastAsia="仿宋_GB2312"/>
          <w:b w:val="0"/>
          <w:sz w:val="32"/>
        </w:rPr>
        <w:t>4.住房保障支出（类）14.83万元，占0.95%。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1.教育支出（类）普通教育（款）学前教育（项）：支出决算数为164.29万元，比上年决算减少17.26万元，下降9.51%，主要原因是：本年学前教育经费只有人员经费支出，公用经费由县级联盟园支出，公用经费减少。</w:t>
      </w:r>
    </w:p>
    <w:p>
      <w:pPr>
        <w:spacing w:line="580" w:lineRule="exact"/>
        <w:ind w:firstLine="640"/>
        <w:jc w:val="both"/>
      </w:pPr>
      <w:r>
        <w:rPr>
          <w:rFonts w:ascii="仿宋_GB2312" w:hAnsi="仿宋_GB2312" w:eastAsia="仿宋_GB2312"/>
          <w:b w:val="0"/>
          <w:sz w:val="32"/>
        </w:rPr>
        <w:t>2.教育支出（类）普通教育（款）小学教育（项）：支出决算数为1,333.46万元，比上年决算增加210.13万元，增长18.71%，主要原因是：本年在职人员工资调增，社保、公积金基数调增，人员经费增加。</w:t>
      </w:r>
    </w:p>
    <w:p>
      <w:pPr>
        <w:spacing w:line="580" w:lineRule="exact"/>
        <w:ind w:firstLine="640"/>
        <w:jc w:val="both"/>
      </w:pPr>
      <w:r>
        <w:rPr>
          <w:rFonts w:ascii="仿宋_GB2312" w:hAnsi="仿宋_GB2312" w:eastAsia="仿宋_GB2312"/>
          <w:b w:val="0"/>
          <w:sz w:val="32"/>
        </w:rPr>
        <w:t>3.教育支出（类）普通教育（款）其他普通教育支出（项）：支出决算数为0.05万元，比上年决算减少29.95万元，下降99.83%，主要原因是：本年本科目校舍安全保障资金减少。</w:t>
      </w:r>
    </w:p>
    <w:p>
      <w:pPr>
        <w:spacing w:line="580" w:lineRule="exact"/>
        <w:ind w:firstLine="640"/>
        <w:jc w:val="both"/>
      </w:pPr>
      <w:r>
        <w:rPr>
          <w:rFonts w:ascii="仿宋_GB2312" w:hAnsi="仿宋_GB2312" w:eastAsia="仿宋_GB2312"/>
          <w:b w:val="0"/>
          <w:sz w:val="32"/>
        </w:rPr>
        <w:t>4.教育支出（类）教育费附加安排的支出（款）其他教育费附加安排的支出（项）：支出决算数为0.00万元，比上年决算减少32.43万元，下降100.00%，主要原因是：本年本科目吉木萨尔县教育系统乡村级转移支付资金减少。</w:t>
      </w:r>
    </w:p>
    <w:p>
      <w:pPr>
        <w:spacing w:line="580" w:lineRule="exact"/>
        <w:ind w:firstLine="640"/>
        <w:jc w:val="both"/>
      </w:pPr>
      <w:r>
        <w:rPr>
          <w:rFonts w:ascii="仿宋_GB2312" w:hAnsi="仿宋_GB2312" w:eastAsia="仿宋_GB2312"/>
          <w:b w:val="0"/>
          <w:sz w:val="32"/>
        </w:rPr>
        <w:t>5.教育支出（类）其他教育支出（款）其他教育支出（项）：支出决算数为0.03万元，比上年决算增加0.03万元，增长100.00%，主要原因是：本年本科目办公费增加。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18.40万元，比上年决算增加18.40万元，增长100.00%，主要原因是：本年功能科目调整，养老保险缴费上年度在主科目列支，本年单独列支，导致经费较上年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12.06万元，比上年决算增加12.06万元，增长100.00%，主要原因是：本年功能科目调整，机关事业单位职业年金缴费上年度在主科目列支，本年单独列支，导致经费较上年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11.21万元，比上年决算增加11.21万元，增长100.00%，主要原因是：本年功能科目调整，事业单位医疗上年度在主科目列支，本年单独列支，导致经费较上年增加。</w:t>
      </w:r>
    </w:p>
    <w:p>
      <w:pPr>
        <w:spacing w:line="580" w:lineRule="exact"/>
        <w:ind w:firstLine="640"/>
        <w:jc w:val="both"/>
      </w:pPr>
      <w:r>
        <w:rPr>
          <w:rFonts w:ascii="仿宋_GB2312" w:hAnsi="仿宋_GB2312" w:eastAsia="仿宋_GB2312"/>
          <w:b w:val="0"/>
          <w:sz w:val="32"/>
        </w:rPr>
        <w:t>9.卫生健康支出（类）行政事业单位医疗（款）公务员医疗补助（项）：支出决算数为4.52万元，比上年决算增加4.52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10.住房保障支出（类）住房改革支出（款）住房公积金（项）：支出决算数为14.83万元，比上年决算增加14.83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2025年度一般公共预算财政拨款基本支出1,395.01万元，其中：</w:t>
      </w:r>
      <w:r>
        <w:rPr>
          <w:rFonts w:ascii="仿宋_GB2312" w:hAnsi="仿宋_GB2312" w:eastAsia="仿宋_GB2312"/>
          <w:b/>
          <w:sz w:val="32"/>
        </w:rPr>
        <w:t>人员经费1,334.27万元，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spacing w:line="580" w:lineRule="exact"/>
        <w:ind w:firstLine="640"/>
        <w:jc w:val="both"/>
      </w:pPr>
      <w:r>
        <w:rPr>
          <w:rFonts w:ascii="仿宋_GB2312" w:hAnsi="仿宋_GB2312" w:eastAsia="仿宋_GB2312"/>
          <w:b/>
          <w:sz w:val="32"/>
        </w:rPr>
        <w:t>公用经费60.73万元，</w:t>
      </w:r>
      <w:r>
        <w:rPr>
          <w:rFonts w:ascii="仿宋_GB2312" w:hAnsi="仿宋_GB2312" w:eastAsia="仿宋_GB2312"/>
          <w:b w:val="0"/>
          <w:sz w:val="32"/>
        </w:rPr>
        <w:t>包括：办公费、电费、差旅费、培训费、工会经费。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w:t>
      </w:r>
      <w:r>
        <w:rPr>
          <w:rFonts w:ascii="仿宋_GB2312" w:hAnsi="仿宋_GB2312" w:eastAsia="仿宋_GB2312"/>
          <w:b w:val="0"/>
          <w:sz w:val="32"/>
        </w:rPr>
        <w:t>其中：因公出国（境）费用支出0.00万元，占0.00%，比上年增加0.00万元，增长0.00%，主要原因是：2024年与2025年均无因公出国（境）费用支出。</w:t>
      </w:r>
      <w:r>
        <w:rPr>
          <w:rFonts w:ascii="仿宋_GB2312" w:hAnsi="仿宋_GB2312" w:eastAsia="仿宋_GB2312"/>
          <w:b w:val="0"/>
          <w:sz w:val="32"/>
        </w:rPr>
        <w:t>公务用车购置及运行维护费支出0.00万元，占0.00%，比上年增加0.00万元，增长0.00%，主要原因是：2024年与2025年均无公务用车购置及运行维护费支出。</w:t>
      </w:r>
      <w:r>
        <w:rPr>
          <w:rFonts w:ascii="仿宋_GB2312" w:hAnsi="仿宋_GB2312" w:eastAsia="仿宋_GB2312"/>
          <w:b w:val="0"/>
          <w:sz w:val="32"/>
        </w:rPr>
        <w:t>公务接待费支出0.00万元，占0.00%，比上年增加0.00万元，增长0.00%，主要原因是：2024年与2025年均无公务接待费支出。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2025年度吉木萨尔县老台乡小学（事业单位）公用经费支出60.73万元，比上年增加34.68万元，增长133.13%，主要原因是：本年取暖费、维修（护）费增加。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2025年度政府采购支出总额14.16万元，其中：政府采购货物支出0.03万元、政府采购工程支出13.85万元、政府采购服务支出0.28万元。</w:t>
      </w:r>
    </w:p>
    <w:p>
      <w:pPr>
        <w:spacing w:line="580" w:lineRule="exact"/>
        <w:ind w:firstLine="640"/>
        <w:jc w:val="both"/>
      </w:pPr>
      <w:r>
        <w:rPr>
          <w:rFonts w:ascii="仿宋_GB2312" w:hAnsi="仿宋_GB2312" w:eastAsia="仿宋_GB2312"/>
          <w:b w:val="0"/>
          <w:sz w:val="32"/>
        </w:rPr>
        <w:t>授予中小企业合同金额14.16万元，占政府采购支出总额的100.00%，其中：授予小微企业合同金额14.16万元，占政府采购支出总额的100.00%。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2025年12月31日，房屋7,885.85平方米，价值1,672.28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2025年度预算绩效管理形成整体支出绩效自评表1个，全年预算总额1,616.82万元，实际执行总额1,566.38万元；预算绩效评价项目11个，全年预算数146.19万元，全年执行数146.19万元。预算绩效管理取得的成效：党建引领强根基，融合发展显实效，学校党支部以党的政治建设为统领，严格落实“三会一课”、主题党日等制度，组织全体党员和教师深入学习党的创新理论与教育方针，筑牢思想根基。创新“党建+”工作模式，推动党建与教育教学、德育、教研深度融合：教学教务抓常规，提质增效促发展，常规管理规范有序，严格执行课程计划，足额保障体育、艺术、劳动教育课时，完成8次月度教学进度核查；落实“周抽查、月考核”制度，全年开展8次教学常规量化考核，将结果纳入教师业务档案；推行“推门听课”制度，书记、校长完成25节以上听课，教师完成15节以上，覆盖90%以上任课教师，使2025年教学任务完成率达到100%，学生入学率达到100%，小学升学率达到100%。课程改革稳步推进，固定语文、数学教研时间，每月参与集团线下大教研，利用国家智慧教育平台拓宽教研视野，组织2次全员通识培训，参训率100%；开展两轮“青蓝工程”师徒结对，规范师徒互听、指导、备课等要求；立项1项州级课题，征集6篇教师论文并推荐至集团参评；与北京铁学校签订友好学校协议，为教育教学提质升级搭建平台，组织教师外出培训10人次。更新普通话宣传展板，设立班级“读书角”“书法展示栏”，举办诵读比赛、硬笔书法比赛等活动；将课堂普通话使用纳入教学检查，把普通话等级达标作为评优评先基本条件，组织未达标教师参与培训测试。五、存在的主要问题及原因分析。发现的问题及原因：1、教育数字化转型的深度应用与教师信息素养提升的匹配度需进一步加强。2、校本课程体系的特色与品牌影响力有待进一步凸显和深化。3、教师队伍结构不合理，中青年教师较少，老龄化严重，难以适应现代教育的需求。4、生源结构单一，留守儿童、单亲家庭学生多，家庭教育缺失，影响学生的学习和性格发展。下一步改进措施：1.建立健全多层次、全方位的教学质量监控体系。定期开展教学质量检查，涵盖教案编写、课堂授课、作业批改、考试考核等教学全流程。通过数据分析、学生反馈、同行评价等多维度评估教学效果，及时发现问题并督促整改。2.教师的教学质量评价奖惩方案，深入调研现行方案在实施过程中问题与不足，广泛征求教师、学生及家长的意见。细化评价指标，将教学创新、学生学业进步幅度、学生综合素质提升待纳入评价范畴。建立科学合理的奖惩机制，对教学质量优秀、教学成果突出的教师给予物质奖励。3.提高课堂教学效率，开展“高效课堂”专项教研活动，组织教师进行教学方法创新探索。鼓励教师运用项目式学习、小组合作探究、情景教学等多样化教学方法，激发学生学习兴趣与主动性。4.在平时的教学中，我校要严抓国家通用语言文字工作，通过各种形式，要求师生在校讲好普通话，使用规范字。增强了语言文字规范意识，提高了规范使用语言文字的水平。5.我校要继续和主体学校县二小集团一起教学研讨，一起联考联析，明确和强校的差距，找出形成差距的原因，积极整改，努力缩短距离。具体附整体支出绩效自评表、项目支出绩效自评表。</w:t>
      </w:r>
    </w:p>
    <w:p>
      <w:r>
        <w:br w:type="page"/>
      </w:r>
    </w:p>
    <w:tbl>
      <w:tblPr>
        <w:tblW w:type="auto" w:w="0"/>
        <w:tblLook w:firstColumn="1" w:firstRow="1" w:lastColumn="0" w:lastRow="0" w:noHBand="0" w:noVBand="1" w:val="04A0"/>
      </w:tblPr>
      <w:tblGrid>
        <w:gridCol w:w="983"/>
        <w:gridCol w:w="983"/>
        <w:gridCol w:w="983"/>
        <w:gridCol w:w="983"/>
        <w:gridCol w:w="983"/>
        <w:gridCol w:w="983"/>
        <w:gridCol w:w="983"/>
        <w:gridCol w:w="983"/>
        <w:gridCol w:w="983"/>
      </w:tblGrid>
      <w:tr>
        <w:tc>
          <w:tcPr>
            <w:tcW w:type="dxa" w:w="983"/>
            <w:gridSpan w:val="9"/>
            <w:vAlign w:val="center"/>
          </w:tcPr>
          <w:p>
            <w:pPr>
              <w:jc w:val="center"/>
            </w:pPr>
            <w:r>
              <w:rPr>
                <w:rFonts w:ascii="宋体" w:hAnsi="宋体" w:eastAsia="宋体"/>
                <w:sz w:val="24"/>
              </w:rPr>
              <w:t>单位整体支出绩效自评表</w:t>
            </w:r>
          </w:p>
        </w:tc>
      </w:tr>
      <w:tr>
        <w:tc>
          <w:tcPr>
            <w:tcW w:type="dxa" w:w="983"/>
            <w:gridSpan w:val="9"/>
            <w:vAlign w:val="center"/>
          </w:tcPr>
          <w:p>
            <w:pPr>
              <w:jc w:val="center"/>
            </w:pPr>
            <w:r>
              <w:rPr>
                <w:rFonts w:ascii="宋体" w:hAnsi="宋体" w:eastAsia="宋体"/>
                <w:sz w:val="24"/>
              </w:rPr>
              <w:t>（2025年度）</w:t>
            </w:r>
          </w:p>
        </w:tc>
      </w:tr>
      <w:tr>
        <w:trPr>
          <w:cantSplit/>
        </w:trPr>
        <w:tc>
          <w:tcPr>
            <w:tcBorders>
              <w:top w:sz="10" w:val="single"/>
              <w:bottom w:sz="10" w:val="single"/>
              <w:start w:sz="10" w:val="single"/>
              <w:end w:sz="10" w:val="single"/>
              <w:insideV w:sz="10" w:val="single"/>
            </w:tcBorders>
            <w:vAlign w:val="center"/>
          </w:tcPr>
          <w:p>
            <w:pPr>
              <w:jc w:val="center"/>
            </w:pPr>
            <w:r>
              <w:rPr>
                <w:rFonts w:ascii="宋体" w:hAnsi="宋体" w:eastAsia="宋体"/>
                <w:sz w:val="16"/>
              </w:rPr>
              <w:t>单位名称</w:t>
            </w:r>
          </w:p>
        </w:tc>
        <w:tc>
          <w:tcPr>
            <w:gridSpan w:val="8"/>
            <w:tcBorders>
              <w:top w:sz="10" w:val="single"/>
              <w:bottom w:sz="10" w:val="single"/>
              <w:start w:sz="10" w:val="single"/>
              <w:end w:sz="10" w:val="single"/>
              <w:insideV w:sz="10" w:val="single"/>
            </w:tcBorders>
            <w:vAlign w:val="center"/>
          </w:tcPr>
          <w:p>
            <w:pPr>
              <w:jc w:val="center"/>
            </w:pPr>
            <w:r>
              <w:rPr>
                <w:rFonts w:ascii="宋体" w:hAnsi="宋体" w:eastAsia="宋体"/>
                <w:sz w:val="16"/>
              </w:rPr>
              <w:t>吉木萨尔县老台乡小学</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83.09</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108.52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108.52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1,233.60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1,508.30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1,457.86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2,813.38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3,233.64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3,132.76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合计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2,813.38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3,233.64</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3,132.76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983"/>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983"/>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rPr>
          <w:cantSplit/>
        </w:trPr>
        <w:tc>
          <w:tcPr>
            <w:tcW w:type="dxa" w:w="983"/>
            <w:vMerge/>
            <w:tcBorders>
              <w:start w:sz="10" w:val="single"/>
              <w:top w:sz="10" w:val="single"/>
              <w:end w:sz="10" w:val="single"/>
              <w:bottom w:sz="10" w:val="single"/>
              <w:insideV w:sz="10" w:val="single"/>
            </w:tcBorders>
          </w:tcPr>
          <w:p/>
        </w:tc>
        <w:tc>
          <w:tcPr>
            <w:tcW w:type="dxa" w:w="983"/>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习近平新时代中国特色社会主义思想为指导，全面提高办学水平，凝心聚力、务实奋进，努力开创学校教育工作新局面。贯彻“以生为本，全面发展”的教育理念，继续推进“双减”“五项管理工作”，在学校全面工作的框架下，以提升教育教学质量为核心，夯实过程管理，引领教师专业成长，培养学生的创新精神和实践能力为重点，深化教育教学改革，推动学校教育教学工作的高质量发展，实现学校可持续发展、品牌化发展的目标。落实有关教育经费的法规政策，义务教育入学率达到100%，教学任务完成率达到100%，德育活动参与率达到98%，小学升学率达到100%	，享受补贴覆盖率达到100%，安全演练次数1月/次，教师外派培训人数达到10人，开设社团种类10个，让国家优惠政策落实到每家每户，逐步提高受益家长的满意度。</w:t>
            </w:r>
          </w:p>
        </w:tc>
        <w:tc>
          <w:tcPr>
            <w:tcW w:type="dxa" w:w="983"/>
            <w:gridSpan w:val="5"/>
            <w:tcBorders>
              <w:start w:sz="10" w:val="single"/>
              <w:top w:sz="10" w:val="single"/>
              <w:end w:sz="10" w:val="single"/>
              <w:bottom w:sz="10" w:val="single"/>
              <w:insideV w:sz="10" w:val="single"/>
            </w:tcBorders>
            <w:vAlign w:val="center"/>
          </w:tcPr>
          <w:p>
            <w:pPr>
              <w:jc w:val="both"/>
            </w:pPr>
            <w:r>
              <w:rPr>
                <w:rFonts w:ascii="宋体" w:hAnsi="宋体" w:eastAsia="宋体"/>
                <w:sz w:val="16"/>
              </w:rPr>
              <w:t>截至2025年12月31日，我单位全年预算数为1616.82万元，全年执行数为1566.38万元，总预算执行率为96.88%。2025年我单位完成以下工作内容：教学任务完成率100%，学生入学率100%，德育活动参与率98%，小学升学率100%，享受补贴覆盖率100%，完成教师外派培训10人，开展演练次数1月/次，开设社团种类10个。按时发放人员工资、津贴、奖金，按时缴纳各类社保、医保、职业年金、住房公积金等，按时支付学校各项办公经费，使学校正常运转。落实有关教育经费的法规政策，让国家优惠政策落实到每家每户，逐步提高受益群众的满意度。</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rPr>
          <w:cantSplit/>
        </w:trPr>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教学任务完成率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学生入学率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11</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德育活动参与率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小学升学率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享受补贴覆盖率</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13</w:t>
            </w:r>
          </w:p>
        </w:tc>
      </w:tr>
      <w:tr>
        <w:trPr>
          <w:cantSplit/>
        </w:trPr>
        <w:tc>
          <w:tcPr>
            <w:tcW w:type="dxa" w:w="983"/>
            <w:vMerge/>
            <w:tcBorders>
              <w:start w:sz="10" w:val="single"/>
              <w:top w:sz="10" w:val="single"/>
              <w:end w:sz="10" w:val="single"/>
              <w:bottom w:sz="10" w:val="single"/>
              <w:insideV w:sz="10" w:val="single"/>
            </w:tcBorders>
          </w:tcPr>
          <w:p/>
        </w:tc>
        <w:tc>
          <w:tcPr>
            <w:tcW w:type="dxa" w:w="983"/>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教师外派培训人数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=10人</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安全演练次数</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=1月/次</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r>
      <w:tr>
        <w:trPr>
          <w:cantSplit/>
        </w:trPr>
        <w:tc>
          <w:tcPr>
            <w:tcW w:type="dxa" w:w="983"/>
            <w:vMerge/>
            <w:tcBorders>
              <w:start w:sz="10" w:val="single"/>
              <w:top w:sz="10" w:val="single"/>
              <w:end w:sz="10" w:val="single"/>
              <w:bottom w:sz="10" w:val="single"/>
              <w:insideV w:sz="10" w:val="single"/>
            </w:tcBorders>
          </w:tcPr>
          <w:p/>
        </w:tc>
        <w:tc>
          <w:tcPr>
            <w:tcW w:type="dxa" w:w="983"/>
            <w:vMerge/>
            <w:tcBorders>
              <w:start w:sz="10" w:val="single"/>
              <w:top w:sz="10" w:val="single"/>
              <w:end w:sz="10" w:val="single"/>
              <w:bottom w:sz="10" w:val="single"/>
              <w:insideV w:sz="10" w:val="single"/>
            </w:tcBorders>
          </w:tcP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开设社团种类</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=10个</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r>
      <w:tr>
        <w:trPr>
          <w:cantSplit/>
        </w:trPr>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983"/>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2024年工作总结</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rPr>
          <w:cantSplit/>
        </w:trPr>
        <w:tc>
          <w:tcPr>
            <w:tcW w:type="dxa" w:w="983"/>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983"/>
            <w:tcBorders>
              <w:start w:sz="10" w:val="single"/>
              <w:top w:sz="10" w:val="single"/>
              <w:end w:sz="10" w:val="single"/>
              <w:bottom w:sz="10" w:val="single"/>
              <w:insideV w:sz="10" w:val="single"/>
            </w:tcBorders>
          </w:tcPr>
          <w:p/>
        </w:tc>
        <w:tc>
          <w:tcPr>
            <w:tcW w:type="dxa" w:w="983"/>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r>
    </w:tbl>
    <w:p>
      <w:r>
        <w:br w:type="page"/>
      </w:r>
    </w:p>
    <w:p>
      <w:pPr>
        <w:sectPr>
          <w:footerReference r:id="rId3" w:type="default"/>
          <w:pgSz w:w="11906" w:h="16838"/>
          <w:pgMar w:top="2098" w:right="1531" w:bottom="1985" w:left="1531" w:header="851" w:footer="992" w:gutter="0"/>
          <w:cols w:space="720" w:num="1"/>
          <w:docGrid w:type="lines" w:linePitch="312" w:charSpace="0"/>
        </w:sectPr>
      </w:pP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吉木萨尔县各义务段学校2024年下半年免除家庭经济困难及寄宿生学生课后服务费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16.56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我校课后托管服务面向203名义务教育阶段学生，服务时间为周一至周五，每日2课时。服务内容包括兴趣拓展（如美术、体育、科技类社团活动）、课外阅读指导等，旨在解决家长接送难题，丰富学生课后生活，提升学生综合素养。</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16.56万元，资金执行率为100%，本项目实际完成资金支付16.56万元。通过本项目的实施，加强了学校课后服务体系建设，健全了课后服务管理机制，提升了课后服务质量与育人实效，优化了学生课后学习体验，提高了家长对课后服务的满意度，促进了学生全面发展与健康成长，切实落实双减政策要求，助力教育公平与教育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参加课后托管学生人数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项目偏差率为9.85%，主要原因为秋季招生和毕业班情况导致学生人数有变动。年初学生人数203人，年末学生人数163人，平均学生人数183人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课后托管服务内容完成率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每日课后托管时长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2小时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2024年下半年课后托管费发放金额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2025年上半年课后托管费发放金额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&lt;=5.44万元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=5.44万元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提升学生综合素养</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95.08分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吉木萨尔县老台乡小学2025年“奖教奖学”奖金</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主要实施内容为吉木萨尔县2025年“奖教奖学”奖，老台乡小学获得“奋进团队”奖，通过本项目实施建立健全奖教奖学长效机制，形成“激励先进、带动后进”的良好氛围。提升教师教学积极性和学生学习主动性，助力学校教育教学质量稳步提升。待项目实施完成，争取受益学校及教师满意度不低于95%。</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0.60万元，资金执行率为100%，本项目实际完成资金支付0.60万元。通过本项目的实施，加强了学校激励机制建设，健全了奖教奖学管理制度，营造尊师重教、争先创优的良好氛围，提升了教师教书育人积极性与专业发展动力，激发学生学习热情与进取意识，增强师生荣誉感与获得感，促进了教育教学质量稳步提高、优良校风学风持续形成，助力学校立德树人根本任务落实，推动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获奖个数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获得奖项评奖合格率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资金到位及时率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奋进团队奖奖金金额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&lt;=0.60万元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提升学校团结奋进精神</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受益学校满意度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吉木萨尔县老台乡小学教育系统冬季取暖费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教育系统冬季取暖费补助，项目总投资20.51万元，计划于2025年12月完成，实现采暖期内供暖全覆盖、质量达标，改善师生教学与生活环境，杜绝冬季取暖安全隐患，保障教育教学秩序持续稳定，助力教育公平与薄弱学校条件提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20.51万元，资金执行率为100%，本项目实际完成资金支付20.51万元。通过本项目的实施，加强了校园冬季取暖保障体系建设，完善了取暖设施运维管理，筑牢了校园温暖安全防线，提升了校园冬季取暖质量与保障能力，改善了师生学习工作环境，保障校园正常运转，促进了教育教学秩序稳定有序，保障师生身心健康，推动学校各项工作平稳开展，切实落实了校园民生保障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小学取暖面积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&gt;=8264平方米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=8264平方米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取暖费保障率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取暖保障天数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=180天</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小学电采暖每平方金额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=29元/平方米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小学电采暖费金额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=20.51万元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保障师生取暖</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昌州财教[2024]100号关于提前下达2025年教育补助项目经费预算的通知（自治区义务教育班主任津贴补贴）</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为落实义务教育段班主任津贴补助政策，2025年对我校义务教育阶段6个班级的班主任发放津贴补助。按“每班每月400元，补助10个月”的标准执行，通过保障班主任津贴，激发班主任工作积极性，提升班级管理质量，助力学生德智体美劳全面发展。</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2.40万元，资金执行率为100%，本项目实际完成资金支付2.40万元。通过本项目的实施，加强了班主任队伍专业化建设，健全了班级管理激励与保障机制，强化了学校德育工作与班级日常管理力度，提升了班主任工作积极性、责任心与班级管理效能，保障了班主任劳动权益，激发了育人工作热情，促进了学校德育工作扎实开展、学生良好行为习惯养成与校园和谐稳定，推动了学校教育教学管理工作提质增效</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班主任津贴按时发放及时率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班主任津贴补助时长</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班主任津贴补助标准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400元/月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逐步提高班主任工作积极性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有效提高</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班主任满意度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昌州财教[2024]100号关于提前下达2025年教育补助项目经费预算的通知（自聘教师补助）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1.15</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落实自聘幼儿教师补助政策，稳定自聘教师队伍，提升幼儿教师专业积极性，保障幼儿教育教学活动优质开展，促进幼儿身心健康与全面发展，助力学前教育质量提升，对我校自聘幼儿教师5人，按照每人补助标准2290元进行补助，项目资金为1.15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1.15万元，资金执行率为100%，本项目实际完成资金支付1.15万元。通过本项目的实施，加强了学校师资队伍补充与保障机制，稳定了自聘教师队伍，规范了经费发放与管理，提升了自聘教师待遇保障水平、工作积极性与职业归属感，补齐了学校教学力量短板，促进了教育教学工作正常开展，保障教学秩序稳定，推动义务教育阶段教育教学质量稳步提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保障自聘教师考核合格率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2290元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自聘教师队伍稳定性</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有效稳定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自聘教师满意度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幼儿家长满意度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 关于提前下达2025年中央城乡义务教育补助经费预算的通知 （校舍安全保障）</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46.40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项目实施可消除校舍安全隐患，为师生创造安全的教学环境，增强家长与社会对学校的信任，助力县域义务教育优质均衡发展。我校校舍安全改造项目涉及教学楼、门卫室、学生宿舍、屋顶维修，每平方米100元共计：20万。学生食堂、学生宿舍粉刷4500平方米，每平方40元共计：18万。消防管网维修600米，每米140元共计：8.4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46.4万元，资金执行率为100%，本项目实际完成资金支付46.4万元。通过本项目的实施，加强了校园校舍安全管理体系建设，健全了校舍安全隐患排查、维修及监管长效机制，提升了校舍建筑安全水平、设施完好度及应急防护能力，有效改善了师生在校环境，消除了安全隐患，促进了教育教学秩序稳定，保障了师生人身与财产安全，推动校园安全治理能力现代化，切实落实校园安全保障政策要求。</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学生食堂、学生宿舍粉刷面积</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=4500平方米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消防管网维修米数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&gt;=600米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=600米</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维修项目质量合格率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校舍安全维修项目完成时间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2025年11月30日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学生食堂、学生宿舍粉刷金额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消防管网维修金额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&lt;=8.40万元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=8.4万元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屋顶维修费用</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改善学生学习环境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昌州财教[2024]92号关于提前下达2025年中央城乡义务教育补助经费预算的通知（小学公用经费）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21.96</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小学经费，保障教育教学活动正常开展，改善办学条件，提升教师专业能力与学生综合素养，助力义务教育阶段学校优质均衡发展。我校在校学生人数203人，公用经费补助标准720元/生，取暖费补助标准170元/生，寄宿生补助标准300元/生，总计补助金额21.97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21.96万元，资金执行率为100%，本项目实际完成资金支付21.96万元。通过本项目的实施，加强了学校办学条件保障与日常运转支撑，完善了教育教学经费保障机制，提升了学校教育教学服务能力、办学水平与经费使用效益，改善了校园环境与教学实施条件，促进了义务教育均衡发展，保障了学校各项工作正常开展，助力教育教学质量稳步提升，切实落实义务教育经费保障政策。</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在校学生人数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&gt;=203人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90.15%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该项指标未完成，存在偏差，偏差率9.85%，主要原因为学校在校生人数因为毕业班和秋季招生情况，年末学生人数因出生人口下降，导致入学率下降。所以导致指标未达标。</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在校寄宿生人数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公用经费保障月数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12个月</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学生公用经费补助标准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寄宿生公用经费生均标准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300元/生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取暖费补助标准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170元/生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保障教育教学活动正常开展</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97.05分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昌州财教[2024]98号关于提前下达2025年自治区城乡义务教育补助经费预算的通知（小学家庭经济困难学生生活补助）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18.81</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做好家庭经济困难学生认定和生活补助发放工作，提高资助的精准度。我校寄宿生人数130人，补助标准1250元/人，非寄宿生人数72人，补助标准625元/人，使家庭经济困难学生安心完成学业。家庭经济困难学生补助资金中自治区直达资金52000.00万元，中央直达资金135990.99元，县级配套资金138.21元，合计188129.20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18.81万元，资金执行率为100%，本项目实际完成资金支付18.81万元。通过本项目的实施，加强了教育民生保障力度，健全了家庭经济困难学生资助管理体系，提升了贫困学生资助精准度与资金使用效益，完善了助学服务机制，促进了贫困学生身心健康与全面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=128人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98.46%</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130人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该项指标未完成，存在偏差，偏差率为1.54%，主要原因为秋季招生和毕业班情况导致学生人数有变动。年初寄宿生126人，年末寄宿生129人，平均128人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=53人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74.65%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4.4</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该项指标未完成，存在偏差，偏差率为25.35%，主要原因为秋季招生和毕业班情况导致学生人数有变动。年初非寄宿生71人，年末非寄宿生34人，平均53人</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补助资金发放及时率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1250元/生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非寄宿生补助标准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625元/生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保障家庭经济困难学生安心完成学业</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有效保障</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91.90分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昌州财教[2024]98号关于提前下达2025年自治区城乡义务教育补助经费预算的通知（特殊教育公用经费</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0.70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通过规范使用特殊教育小学经费，保障教育教学活动正常开展，改善办学随班就读学生条件，提升教师专业能力与学生综合素养，助力义务教育阶段学校优质均衡发展。我校随班就读学生1人，特殊教育公用经费补助标准7000元/生，中央补助资金0.17万元、自治区补助资金0.45万元，县级配套资金0.08万元，总计补助金额0.70万元。</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0.7万元，资金执行率为100%，本项目实际完成资金支付0.7万元。通过本项目的实施，加强了特殊教育办学条件保障，健全了特殊教育教学与管理经费保障机制，强化了经费规范使用与监管力度，提升了特殊教育教学服务能力、校园环境适配度与教育教学支持水平，切实改善了特殊学生学习与生活条件，促进了特殊教育资源均衡配置，保障了适龄特殊儿童受教育权利，推动了特殊教育事业高质量发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特教学生补助人数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特教经费使用覆盖率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特教经费使用及时率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特教经费补助标准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=7000元/生</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直接赋分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收益群体户数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受益家长满意度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受益学生满意度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昌州财教[2025]5号关于下达2025年昌吉州教育项目州本级配套资金的通知（教师体检补助）</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根据州党委第七十七次会议“将全州女教师两癌筛查纳入体检项目”精神，自治州教职工健康体检经费纳入州财政年度预算予以保障，按照500元/人的补助标准，对我校42名教职员工开展健康体检，有效改善我校教师身体健康状况。</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2.1万元，资金执行率100%，本项目实际完成资金支付2.1万元，通过本项目的实施，加强了教职工健康保障体系建设，筑牢了教师队伍健康防线，提升了教职工健康意识与健康管理能力，促进了教师队伍身心健康与职业可持续发展，推动了学校教育教学工作高质量开展。</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体检教师人数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42人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体检次数</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1次</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教师体检补助覆盖率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教师体检补助支付及时率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教师体贴补助标准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500元/人</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改善教师身体健康</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教师满意度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tbl>
      <w:tblPr>
        <w:tblW w:type="pct" w:w="5000"/>
        <w:tblLayout w:type="fixed"/>
        <w:tblLook w:firstColumn="1" w:firstRow="1" w:lastColumn="0" w:lastRow="0" w:noHBand="0" w:noVBand="1" w:val="04A0"/>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trPr>
          <w:trHeight w:val="405"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32"/>
              </w:rPr>
              <w:t>项目支出绩效自评表</w:t>
            </w:r>
          </w:p>
        </w:tc>
      </w:tr>
      <w:tr>
        <w:trPr>
          <w:trHeight w:val="380" w:hRule="atLeast"/>
        </w:trPr>
        <w:tc>
          <w:tcPr>
            <w:tcW w:type="dxa" w:w="593"/>
            <w:gridSpan w:val="1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22"/>
              </w:rPr>
              <w:t>(2025年度)</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项目名称</w:t>
            </w:r>
          </w:p>
        </w:tc>
        <w:tc>
          <w:tcPr>
            <w:tcW w:type="dxa" w:w="593"/>
            <w:gridSpan w:val="1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昌州财教【2024】72号关于提前下达2025中央义务教育薄弱环节改善与能力提升补助资金预算的通知</w:t>
            </w:r>
          </w:p>
        </w:tc>
      </w:tr>
      <w:tr>
        <w:trPr>
          <w:trHeight w:val="380" w:hRule="atLeast"/>
        </w:trPr>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主管部门</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吉木萨尔县教育局</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实施单位</w:t>
            </w:r>
          </w:p>
        </w:tc>
        <w:tc>
          <w:tcPr>
            <w:tcW w:type="dxa" w:w="593"/>
            <w:gridSpan w:val="5"/>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吉木萨尔县老台乡小学</w:t>
            </w:r>
          </w:p>
        </w:tc>
      </w:tr>
      <w:tr>
        <w:trPr>
          <w:trHeight w:val="380" w:hRule="atLeast"/>
        </w:trPr>
        <w:tc>
          <w:tcPr>
            <w:tcW w:type="dxa" w:w="593"/>
            <w:gridSpan w:val="2"/>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项目资金
（万元）</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年初预算数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全年预算数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全年执行数</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分值</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执行率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得分</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年度资金总额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10.00</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其中：当年财政拨款</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15.00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gridSpan w:val="2"/>
            <w:vMerge/>
            <w:tcBorders>
              <w:start w:sz="10" w:val="single"/>
              <w:top w:sz="10" w:val="single"/>
              <w:end w:sz="10" w:val="single"/>
              <w:bottom w:sz="10" w:val="single"/>
              <w:insideV w:sz="10" w:val="single"/>
            </w:tcBorders>
          </w:tcP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其他资金</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0.00</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gridSpan w:val="2"/>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w:t>
            </w: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年度总体目标</w:t>
            </w: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预期目标</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实际完成情况</w:t>
            </w:r>
          </w:p>
        </w:tc>
      </w:tr>
      <w:tr>
        <w:trPr>
          <w:trHeight w:val="700" w:hRule="atLeast"/>
        </w:trPr>
        <w:tc>
          <w:tcPr>
            <w:tcW w:type="dxa" w:w="593"/>
            <w:vMerge/>
            <w:tcBorders>
              <w:start w:sz="10" w:val="single"/>
              <w:top w:sz="10" w:val="single"/>
              <w:end w:sz="10" w:val="single"/>
              <w:bottom w:sz="10" w:val="single"/>
              <w:insideV w:sz="10" w:val="single"/>
            </w:tcBorders>
          </w:tcPr>
          <w:p/>
        </w:tc>
        <w:tc>
          <w:tcPr>
            <w:tcW w:type="dxa" w:w="593"/>
            <w:gridSpan w:val="6"/>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本项目实施内容为教育薄弱环节改善与能力提升，项目总投资15.00万元，其中小学劳动实践基地改造费9.00万元，小学校园文化建设费用6.00万元。计划于2025年12月完成，达到工程验收要求，保障师生的教学与生活安全，使学生满意度达到95%以上。</w:t>
            </w:r>
          </w:p>
        </w:tc>
        <w:tc>
          <w:tcPr>
            <w:tcW w:type="dxa" w:w="593"/>
            <w:gridSpan w:val="7"/>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截至2025年12月31日，本项目支出资金15.00万元，资金执行率为100%，本项目实际完成资金支付15.00万元。通过本项目的实施，加强了教育薄弱环节补齐与资源保障，提升了薄弱学校办学条件与育人能力，促进了义务教育优质均衡发展与教育公平，圆满完成项目绩效目标</w:t>
            </w:r>
          </w:p>
        </w:tc>
      </w:tr>
      <w:t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一级指标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二级指标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三级指标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权重</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目标值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业绩值</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完成率</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指标得分</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指标值设定依据</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上年完成情况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赋分规则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佐证资料</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偏差原因分析及改进措施</w:t>
            </w:r>
          </w:p>
        </w:tc>
      </w:tr>
      <w:t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r>
      <w:tr>
        <w:trPr>
          <w:trHeight w:val="380" w:hRule="atLeast"/>
        </w:trPr>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sz w:val="18"/>
              </w:rPr>
              <w:t>年度绩效指标完成情况</w:t>
            </w: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产出指标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小学劳动实践基地改造项目数量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数量指标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小学校园文化建设项目数量</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=1项</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质量指标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小学实践基地改造验收合格率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时效指标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小学实践基地改造完成时间</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2025年12月以前</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2025年11月26日</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val="restart"/>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小学实践基地改造金额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12</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经济成本指标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小学校园文化建设金额</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&lt;=6万元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=6万元</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8</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按照完成比例赋分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工作资料，原始凭证</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社会效益指标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改善学校办学条件</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有效改善</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达成年度指标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20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按评判等级赋分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vMerge/>
            <w:tcBorders>
              <w:start w:sz="10" w:val="single"/>
              <w:top w:sz="10" w:val="single"/>
              <w:end w:sz="10" w:val="single"/>
              <w:bottom w:sz="10" w:val="single"/>
              <w:insideV w:sz="10" w:val="single"/>
            </w:tcBorders>
          </w:tcP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满意度指标</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学生满意度</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&gt;=95%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=95%</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10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计划标准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新增项目</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满意度赋分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工作资料</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sz w:val="18"/>
              </w:rPr>
              <w:t/>
            </w:r>
          </w:p>
        </w:tc>
      </w:tr>
      <w:tr>
        <w:trPr>
          <w:trHeight w:val="380" w:hRule="atLeast"/>
        </w:trPr>
        <w:tc>
          <w:tcPr>
            <w:tcW w:type="dxa" w:w="593"/>
            <w:gridSpan w:val="4"/>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总分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100.00分</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c>
          <w:tcPr>
            <w:tcW w:type="dxa" w:w="593"/>
            <w:tcBorders>
              <w:start w:sz="10" w:val="single"/>
              <w:top w:sz="10" w:val="single"/>
              <w:end w:sz="10" w:val="single"/>
              <w:bottom w:sz="10" w:val="single"/>
              <w:insideV w:sz="10" w:val="single"/>
            </w:tcBorders>
            <w:vAlign w:val="center"/>
          </w:tcPr>
          <w:p>
            <w:pPr>
              <w:spacing w:before="0" w:after="0" w:line="240" w:lineRule="auto"/>
              <w:jc w:val="center"/>
            </w:pPr>
            <w:r>
              <w:rPr>
                <w:rFonts w:ascii="宋体" w:hAnsi="宋体" w:eastAsia="宋体"/>
                <w:b w:val="0"/>
                <w:i w:val="0"/>
                <w:color w:val="000000"/>
                <w:sz w:val="18"/>
              </w:rPr>
              <w:t/>
            </w:r>
          </w:p>
        </w:tc>
      </w:tr>
    </w:tbl>
    <w:p>
      <w:r>
        <w:br w:type="page"/>
      </w:r>
    </w:p>
    <w:p>
      <w:pPr>
        <w:sectPr>
          <w:type w:val="continuous"/>
          <w:pgSz w:w="11906" w:h="16838"/>
          <w:pgMar w:top="1440" w:right="1800" w:bottom="1440" w:left="1800" w:header="851" w:footer="992" w:gutter="0"/>
          <w:cols w:space="720" w:num="1"/>
          <w:docGrid w:type="lines" w:linePitch="312" w:charSpace="0"/>
        </w:sectPr>
      </w:pP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Rule="exact" w:line="600"/>
        <w:jc w:val="center"/>
        <w:outlineLvl w:val="0"/>
      </w:pPr>
      <w:r>
        <w:rPr>
          <w:rFonts w:ascii="黑体" w:hAnsi="黑体" w:eastAsia="黑体"/>
          <w:sz w:val="32"/>
        </w:rPr>
        <w:t>第三部分 专业名词解释</w:t>
      </w:r>
    </w:p>
    <w:p>
      <w:pPr>
        <w:spacing w:lineRule="exact" w:line="600"/>
        <w:ind w:firstLine="643" w:firstLineChars="200"/>
        <w:autoSpaceDE w:val="0"/>
        <w:autoSpaceDN w:val="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pPr>
        <w:spacing w:lineRule="exact" w:line="600"/>
        <w:ind w:firstLine="643" w:firstLineChars="200"/>
        <w:autoSpaceDE w:val="0"/>
        <w:autoSpaceDN w:val="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Rule="exact" w:line="600"/>
        <w:ind w:firstLine="643" w:firstLineChars="200"/>
        <w:autoSpaceDE w:val="0"/>
        <w:autoSpaceDN w:val="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pPr>
        <w:spacing w:lineRule="exact" w:line="600"/>
        <w:ind w:firstLine="643" w:firstLineChars="200"/>
        <w:autoSpaceDE w:val="0"/>
        <w:autoSpaceDN w:val="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Rule="exact" w:line="600"/>
        <w:ind w:firstLine="643" w:firstLineChars="200"/>
        <w:autoSpaceDE w:val="0"/>
        <w:autoSpaceDN w:val="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pPr>
        <w:spacing w:lineRule="exact" w:line="600"/>
        <w:ind w:firstLine="643" w:firstLineChars="200"/>
        <w:autoSpaceDE w:val="0"/>
        <w:autoSpaceDN w:val="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pPr>
        <w:spacing w:lineRule="exact" w:line="600"/>
        <w:ind w:firstLine="643" w:firstLineChars="200"/>
        <w:autoSpaceDE w:val="0"/>
        <w:autoSpaceDN w:val="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pPr>
        <w:spacing w:lineRule="exact" w:line="600"/>
        <w:ind w:firstLine="643" w:firstLineChars="200"/>
        <w:autoSpaceDE w:val="0"/>
        <w:autoSpaceDN w:val="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pPr>
        <w:spacing w:lineRule="exact" w:line="600"/>
        <w:ind w:firstLine="643" w:firstLineChars="200"/>
        <w:autoSpaceDE w:val="0"/>
        <w:autoSpaceDN w:val="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pPr>
        <w:spacing w:lineRule="exact" w:line="600"/>
        <w:ind w:firstLine="643" w:firstLineChars="200"/>
        <w:autoSpaceDE w:val="0"/>
        <w:autoSpaceDN w:val="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pPr>
        <w:spacing w:lineRule="exact" w:line="600"/>
        <w:ind w:firstLine="643" w:firstLineChars="200"/>
        <w:autoSpaceDE w:val="0"/>
        <w:autoSpaceDN w:val="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pPr>
        <w:spacing w:lineRule="exact" w:line="600"/>
        <w:ind w:firstLine="643" w:firstLineChars="200"/>
        <w:autoSpaceDE w:val="0"/>
        <w:autoSpaceDN w:val="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pPr>
        <w:spacing w:lineRule="exact" w:line="600"/>
        <w:ind w:firstLine="643" w:firstLineChars="200"/>
        <w:autoSpaceDE w:val="0"/>
        <w:autoSpaceDN w:val="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pPr>
        <w:spacing w:lineRule="exact" w:line="600"/>
        <w:ind w:firstLine="643" w:firstLineChars="200"/>
        <w:autoSpaceDE w:val="0"/>
        <w:autoSpaceDN w:val="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pPr>
        <w:spacing w:lineRule="exact" w:line="600"/>
        <w:ind w:firstLine="643" w:firstLineChars="200"/>
        <w:autoSpaceDE w:val="0"/>
        <w:autoSpaceDN w:val="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spacing w:lineRule="exact" w:line="600"/>
        <w:ind w:firstLine="643" w:firstLineChars="200"/>
        <w:autoSpaceDE w:val="0"/>
        <w:autoSpaceDN w:val="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Rule="exact" w:line="600"/>
        <w:ind w:firstLine="643" w:firstLineChars="200"/>
        <w:autoSpaceDE w:val="0"/>
        <w:autoSpaceDN w:val="0"/>
      </w:pPr>
      <w:r>
        <w:rPr>
          <w:rFonts w:ascii="仿宋_GB2312" w:hAnsi="仿宋_GB2312" w:eastAsia="仿宋_GB2312"/>
          <w:b w:val="0"/>
          <w:sz w:val="32"/>
        </w:rPr>
        <w:t>一、《收入支出决算总表》</w:t>
      </w:r>
    </w:p>
    <w:p>
      <w:pPr>
        <w:spacing w:lineRule="exact" w:line="600"/>
        <w:ind w:firstLine="643" w:firstLineChars="200"/>
        <w:autoSpaceDE w:val="0"/>
        <w:autoSpaceDN w:val="0"/>
      </w:pPr>
      <w:r>
        <w:rPr>
          <w:rFonts w:ascii="仿宋_GB2312" w:hAnsi="仿宋_GB2312" w:eastAsia="仿宋_GB2312"/>
          <w:b w:val="0"/>
          <w:sz w:val="32"/>
        </w:rPr>
        <w:t>二、《收入决算表》</w:t>
      </w:r>
    </w:p>
    <w:p>
      <w:pPr>
        <w:spacing w:lineRule="exact" w:line="600"/>
        <w:ind w:firstLine="643" w:firstLineChars="200"/>
        <w:autoSpaceDE w:val="0"/>
        <w:autoSpaceDN w:val="0"/>
      </w:pPr>
      <w:r>
        <w:rPr>
          <w:rFonts w:ascii="仿宋_GB2312" w:hAnsi="仿宋_GB2312" w:eastAsia="仿宋_GB2312"/>
          <w:b w:val="0"/>
          <w:sz w:val="32"/>
        </w:rPr>
        <w:t>三、《支出决算表》</w:t>
      </w:r>
    </w:p>
    <w:p>
      <w:pPr>
        <w:spacing w:lineRule="exact" w:line="600"/>
        <w:ind w:firstLine="643" w:firstLineChars="200"/>
        <w:autoSpaceDE w:val="0"/>
        <w:autoSpaceDN w:val="0"/>
      </w:pPr>
      <w:r>
        <w:rPr>
          <w:rFonts w:ascii="仿宋_GB2312" w:hAnsi="仿宋_GB2312" w:eastAsia="仿宋_GB2312"/>
          <w:b w:val="0"/>
          <w:sz w:val="32"/>
        </w:rPr>
        <w:t>四、《财政拨款收入支出决算总表》</w:t>
      </w:r>
    </w:p>
    <w:p>
      <w:pPr>
        <w:spacing w:lineRule="exact" w:line="600"/>
        <w:ind w:firstLine="643" w:firstLineChars="200"/>
        <w:autoSpaceDE w:val="0"/>
        <w:autoSpaceDN w:val="0"/>
      </w:pPr>
      <w:r>
        <w:rPr>
          <w:rFonts w:ascii="仿宋_GB2312" w:hAnsi="仿宋_GB2312" w:eastAsia="仿宋_GB2312"/>
          <w:b w:val="0"/>
          <w:sz w:val="32"/>
        </w:rPr>
        <w:t>五、《一般公共预算财政拨款支出决算表》</w:t>
      </w:r>
    </w:p>
    <w:p>
      <w:pPr>
        <w:spacing w:lineRule="exact" w:line="600"/>
        <w:ind w:firstLine="643" w:firstLineChars="200"/>
        <w:autoSpaceDE w:val="0"/>
        <w:autoSpaceDN w:val="0"/>
      </w:pPr>
      <w:r>
        <w:rPr>
          <w:rFonts w:ascii="仿宋_GB2312" w:hAnsi="仿宋_GB2312" w:eastAsia="仿宋_GB2312"/>
          <w:b w:val="0"/>
          <w:sz w:val="32"/>
        </w:rPr>
        <w:t>六、《一般公共预算财政拨款基本支出决算表》</w:t>
      </w:r>
    </w:p>
    <w:p>
      <w:pPr>
        <w:spacing w:lineRule="exact" w:line="600"/>
        <w:ind w:firstLine="643" w:firstLineChars="200"/>
        <w:autoSpaceDE w:val="0"/>
        <w:autoSpaceDN w:val="0"/>
      </w:pPr>
      <w:r>
        <w:rPr>
          <w:rFonts w:ascii="仿宋_GB2312" w:hAnsi="仿宋_GB2312" w:eastAsia="仿宋_GB2312"/>
          <w:b w:val="0"/>
          <w:sz w:val="32"/>
        </w:rPr>
        <w:t>七、《政府性基金预算财政拨款收入支出决算表》</w:t>
      </w:r>
    </w:p>
    <w:p>
      <w:pPr>
        <w:spacing w:lineRule="exact" w:line="600"/>
        <w:ind w:firstLine="643" w:firstLineChars="200"/>
        <w:autoSpaceDE w:val="0"/>
        <w:autoSpaceDN w:val="0"/>
      </w:pPr>
      <w:r>
        <w:rPr>
          <w:rFonts w:ascii="仿宋_GB2312" w:hAnsi="仿宋_GB2312" w:eastAsia="仿宋_GB2312"/>
          <w:b w:val="0"/>
          <w:sz w:val="32"/>
        </w:rPr>
        <w:t>八、《国有资本经营预算财政拨款收入支出决算表》</w:t>
      </w:r>
    </w:p>
    <w:p>
      <w:pPr>
        <w:spacing w:lineRule="exact" w:line="600"/>
        <w:ind w:firstLine="643" w:firstLineChars="200"/>
        <w:autoSpaceDE w:val="0"/>
        <w:autoSpaceDN w:val="0"/>
      </w:pPr>
      <w:r>
        <w:rPr>
          <w:rFonts w:ascii="仿宋_GB2312" w:hAnsi="仿宋_GB2312" w:eastAsia="仿宋_GB2312"/>
          <w:b w:val="0"/>
          <w:sz w:val="32"/>
        </w:rPr>
        <w:t>九、《财政拨款“三公”经费支出决算表》</w:t>
      </w: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p>
      <w:pPr>
        <w:spacing w:lineRule="exact" w:line="600"/>
        <w:ind w:firstLine="643" w:firstLineChars="200"/>
        <w:autoSpaceDE w:val="0"/>
        <w:autoSpaceDN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382358-5FB0-4BFB-AA9D-340FD89383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B0E6D792-6E8F-4F84-99FA-9970FA3A7C22}"/>
  </w:font>
  <w:font w:name="仿宋_GB2312">
    <w:altName w:val="微软雅黑"/>
    <w:panose1 w:val="02010609030101010101"/>
    <w:charset w:val="86"/>
    <w:family w:val="modern"/>
    <w:pitch w:val="default"/>
    <w:sig w:usb0="00000001" w:usb1="080E0000" w:usb2="00000000" w:usb3="00000000" w:csb0="00040000" w:csb1="00000000"/>
    <w:embedRegular r:id="rId3" w:fontKey="{45C515A8-30E2-40B7-BB08-E73601327DDD}"/>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WPSEMBED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docProps/app.xml><?xml version="1.0" encoding="utf-8"?>
<Properties xmlns="http://schemas.openxmlformats.org/officeDocument/2006/extended-properties" xmlns:vt="http://schemas.openxmlformats.org/officeDocument/2006/docPropsVTypes">
  <Template>Normal.dotm</Template>
  <Pages>3</Pages>
  <Words>519</Words>
  <Characters>537</Characters>
  <Lines>10</Lines>
  <Paragraphs>2</Paragraphs>
  <TotalTime>7</TotalTime>
  <ScaleCrop>false</ScaleCrop>
  <LinksUpToDate>false</LinksUpToDate>
  <CharactersWithSpaces>543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净</cp:lastModifiedBy>
  <cp:lastPrinted>2024-07-22T11:58:00Z</cp:lastPrinted>
  <dcterms:modified xsi:type="dcterms:W3CDTF">2026-08-25T03:09:34Z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eyJoZGlkIjoiYzdkNWY5OGM4OTRiMDBlYmMyNmZmZGZhMDgxMzY1MzQiLCJ1c2VySWQiOiI0MDU5MTQxNzUifQ==</vt:lpwstr>
  </property>
</Properties>
</file>