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吉木萨尔县第二小学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吉木萨尔县第二小学无下属预算单位。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2025年度收入总计2,385.97万元，</w:t>
      </w:r>
      <w:r>
        <w:rPr>
          <w:rFonts w:ascii="仿宋_GB2312" w:hAnsi="仿宋_GB2312" w:eastAsia="仿宋_GB2312"/>
          <w:b w:val="0"/>
          <w:sz w:val="32"/>
        </w:rPr>
        <w:t>其中：本年收入合计2,360.16万元，使用非财政拨款结余（含专用结余）0.00万元，年初结转和结余25.80万元。</w:t>
      </w:r>
    </w:p>
    <w:p>
      <w:pPr>
        <w:spacing w:line="580" w:lineRule="exact"/>
        <w:ind w:firstLine="640"/>
        <w:jc w:val="both"/>
      </w:pPr>
      <w:r>
        <w:rPr>
          <w:rFonts w:ascii="仿宋_GB2312" w:hAnsi="仿宋_GB2312" w:eastAsia="仿宋_GB2312"/>
          <w:b/>
          <w:sz w:val="32"/>
        </w:rPr>
        <w:t>2025年度支出总计2,385.97万元，</w:t>
      </w:r>
      <w:r>
        <w:rPr>
          <w:rFonts w:ascii="仿宋_GB2312" w:hAnsi="仿宋_GB2312" w:eastAsia="仿宋_GB2312"/>
          <w:b w:val="0"/>
          <w:sz w:val="32"/>
        </w:rPr>
        <w:t>其中：本年支出合计2,365.70万元，结余分配0.00万元，年末结转和结余20.27万元。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增加168.06万元，增长7.58%，主要原因是：本年在职人员工资调增，社保、公积金基数调增，人员经费增加。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本年收入2,360.16万元，</w:t>
      </w:r>
      <w:r>
        <w:rPr>
          <w:rFonts w:ascii="仿宋_GB2312" w:hAnsi="仿宋_GB2312" w:eastAsia="仿宋_GB2312"/>
          <w:b w:val="0"/>
          <w:sz w:val="32"/>
        </w:rPr>
        <w:t>其中：财政拨款收入2,262.70万元，占95.87%；上级补助收入0.00万元，占0.00%；事业收入0.00万元，占0.00%；经营收入0.00万元，占0.00%；附属单位上缴收入0.00万元，占0.00%；其他收入97.46万元，占4.13%。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本年支出2,365.70万元，</w:t>
      </w:r>
      <w:r>
        <w:rPr>
          <w:rFonts w:ascii="仿宋_GB2312" w:hAnsi="仿宋_GB2312" w:eastAsia="仿宋_GB2312"/>
          <w:b w:val="0"/>
          <w:sz w:val="32"/>
        </w:rPr>
        <w:t>其中：基本支出2,157.47万元，占91.20%；项目支出208.23万元，占8.80%；上缴上级支出0.00万元，占0.00%；经营支出0.00万元，占0.00%；对附属单位补助支出0.00万元，占0.00%。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2025年度财政拨款收入总计2,268.15万元，</w:t>
      </w:r>
      <w:r>
        <w:rPr>
          <w:rFonts w:ascii="仿宋_GB2312" w:hAnsi="仿宋_GB2312" w:eastAsia="仿宋_GB2312"/>
          <w:b w:val="0"/>
          <w:sz w:val="32"/>
        </w:rPr>
        <w:t>其中：年初财政拨款结转和结余5.45万元，本年财政拨款收入2,262.70万元。</w:t>
      </w:r>
      <w:r>
        <w:rPr>
          <w:rFonts w:ascii="仿宋_GB2312" w:hAnsi="仿宋_GB2312" w:eastAsia="仿宋_GB2312"/>
          <w:b/>
          <w:sz w:val="32"/>
        </w:rPr>
        <w:t>财政拨款支出总计2,268.15万元，</w:t>
      </w:r>
      <w:r>
        <w:rPr>
          <w:rFonts w:ascii="仿宋_GB2312" w:hAnsi="仿宋_GB2312" w:eastAsia="仿宋_GB2312"/>
          <w:b w:val="0"/>
          <w:sz w:val="32"/>
        </w:rPr>
        <w:t>其中：年末财政拨款结转和结余5.45万元，本年财政拨款支出2,262.70万元。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增加160.46万元，增长7.61%，主要原因是：本年在职人员工资调增，社保、公积金基数调增，人员经费增加。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年初预算数2,079.04万元，决算数2,268.15万元，预决算差异率9.10%，主要原因是：年中追加人员工资、社保、公积金基数调增部分资金，导致预决算存在差异。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小学教育办学运转、实训能力提升、家庭经济困难学生资助、校园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按照支出功能分类，教育支出（类）普通教育（款）小学教育（项）的支出占本年财政拨款支出总额的比重最高，2025年度决算数为2,186.02万元，占比96.61%，主要用于人员工资福利、日常公用经费。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2025年度一般公共预算财政拨款支出2,262.70万元，</w:t>
      </w:r>
      <w:r>
        <w:rPr>
          <w:rFonts w:ascii="仿宋_GB2312" w:hAnsi="仿宋_GB2312" w:eastAsia="仿宋_GB2312"/>
          <w:b w:val="0"/>
          <w:sz w:val="32"/>
        </w:rPr>
        <w:t>占本年支出合计的95.65%。</w:t>
      </w:r>
      <w:r>
        <w:rPr>
          <w:rFonts w:ascii="仿宋_GB2312" w:hAnsi="仿宋_GB2312" w:eastAsia="仿宋_GB2312"/>
          <w:b/>
          <w:sz w:val="32"/>
        </w:rPr>
        <w:t>与上年相比，</w:t>
      </w:r>
      <w:r>
        <w:rPr>
          <w:rFonts w:ascii="仿宋_GB2312" w:hAnsi="仿宋_GB2312" w:eastAsia="仿宋_GB2312"/>
          <w:b w:val="0"/>
          <w:sz w:val="32"/>
        </w:rPr>
        <w:t>增加167.78万元，增长8.01%，主要原因是：本年在职人员工资调增，社保、公积金基数调增，人员经费增加。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年初预算数2,079.04万元，决算数2,262.70万元，预决算差异率8.83%，主要原因是：年中追加人员工资、社保、公积金基数调增部分资金，导致预决算存在差异。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1.教育支出（类）2,186.02万元，占96.61%。</w:t>
      </w:r>
    </w:p>
    <w:p>
      <w:pPr>
        <w:spacing w:line="580" w:lineRule="exact"/>
        <w:ind w:firstLine="640"/>
        <w:jc w:val="both"/>
      </w:pPr>
      <w:r>
        <w:rPr>
          <w:rFonts w:ascii="仿宋_GB2312" w:hAnsi="仿宋_GB2312" w:eastAsia="仿宋_GB2312"/>
          <w:b w:val="0"/>
          <w:sz w:val="32"/>
        </w:rPr>
        <w:t>2.社会保障和就业支出（类）29.61万元，占1.31%。</w:t>
      </w:r>
    </w:p>
    <w:p>
      <w:pPr>
        <w:spacing w:line="580" w:lineRule="exact"/>
        <w:ind w:firstLine="640"/>
        <w:jc w:val="both"/>
      </w:pPr>
      <w:r>
        <w:rPr>
          <w:rFonts w:ascii="仿宋_GB2312" w:hAnsi="仿宋_GB2312" w:eastAsia="仿宋_GB2312"/>
          <w:b w:val="0"/>
          <w:sz w:val="32"/>
        </w:rPr>
        <w:t>3.卫生健康支出（类）25.46万元，占1.13%。</w:t>
      </w:r>
    </w:p>
    <w:p>
      <w:pPr>
        <w:spacing w:line="580" w:lineRule="exact"/>
        <w:ind w:firstLine="640"/>
        <w:jc w:val="both"/>
      </w:pPr>
      <w:r>
        <w:rPr>
          <w:rFonts w:ascii="仿宋_GB2312" w:hAnsi="仿宋_GB2312" w:eastAsia="仿宋_GB2312"/>
          <w:b w:val="0"/>
          <w:sz w:val="32"/>
        </w:rPr>
        <w:t>4.住房保障支出（类）21.61万元，占0.96%。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1.教育支出（类）普通教育（款）小学教育（项）：支出决算数为2,186.02万元，比上年决算增加491.93万元，增长29.04%，主要原因是：本年在职人员工资调增，社保、公积金基数调增，人员经费增加。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42.00万元，下降100.00%，主要原因是：本年减少教育支出(类)普通教育(款)其他普通教育支出(项)支出，全部日常公用经费从教育支出(类)普通教育(款)小学教育(项)列支。</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8.17万元，比上年决算减少171.14万元，下降95.44%，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21.44万元，比上年决算减少64.21万元，下降74.97%，主要原因是：本年功能科目调整，机关事业单位职业年金缴费上年度单独列支，本年调整至主科目列支，导致经费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17.45万元，比上年决算减少70.88万元，下降80.24%，主要原因是：本年功能科目调整，事业单位医疗上年度单独列支，本年调整至主科目列支，导致经费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8.01万元，比上年决算增加2.47万元，增长44.58%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21.61万元，比上年决算增加21.61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2025年度一般公共预算财政拨款基本支出2,054.47万元，其中：</w:t>
      </w:r>
      <w:r>
        <w:rPr>
          <w:rFonts w:ascii="仿宋_GB2312" w:hAnsi="仿宋_GB2312" w:eastAsia="仿宋_GB2312"/>
          <w:b/>
          <w:sz w:val="32"/>
        </w:rPr>
        <w:t>人员经费2,011.27万元，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pPr>
        <w:spacing w:line="580" w:lineRule="exact"/>
        <w:ind w:firstLine="640"/>
        <w:jc w:val="both"/>
      </w:pPr>
      <w:r>
        <w:rPr>
          <w:rFonts w:ascii="仿宋_GB2312" w:hAnsi="仿宋_GB2312" w:eastAsia="仿宋_GB2312"/>
          <w:b/>
          <w:sz w:val="32"/>
        </w:rPr>
        <w:t>公用经费43.20万元，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减少7.32万元，下降100.00%，主要原因是：本年减少第二小学西校墙扩建开西门建设项目。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政府性基金预算财政拨款本年支出0.00万元。具体情况如下：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7.32万元，下降100.00%，主要原因是：本年减少第二小学西校墙扩建开西门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2025年度吉木萨尔县第二小学（事业单位）公用经费支出43.20万元，比上年减少0.44万元，下降1.01%，主要原因是：严格控制公用经费，合理节约办公用品，减少不必要开支。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2025年度政府采购支出总额0.51万元，其中：政府采购货物支出0.51万元、政府采购工程支出0.00万元、政府采购服务支出0.00万元。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授予中小企业合同金额0.51万元，占政府采购支出总额的100.00%，其中：授予小微企业合同金额0.51万元，占政府采购支出总额的100.00%。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5,872.00平方米，价值762.27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2,365.70万元，实际执行总额2,365.70万元；预算绩效评价项目7个，全年预算数187.06万元，全年执行数187.06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吉木萨尔县第二小学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1,935.54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2,222.20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2,222.20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4,698.08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4,731.40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4,731.40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4,698.08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4,731.40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4,731.40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促进教育公平和优质均衡发展、全面提高教育教学质量、办人民满意学校，将持续深化教学改革，全力提升教学质量，以此彰显学校的核心职能与卓越效能。在教学方面，推动各学科教学创新，引入前沿教育技术，提升课堂效率，确保学生在期末考试中，各学科平均分提升5%，优秀率提高10%；在学生成长上，全方位拓展素质教育，丰富社团活动与实践课程，培养学生综合素养，让学生的综合素质测评达标率达95%以上，教师培训覆盖率100%：校园文化活动丰富多彩，参与率超98%，安全隐患排查整改及时率达到100%，课后托管服务兴趣班26个，全面助力师生成长，完成既定年度指标。</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2,365.70万元，全年执行数为2,365.70万元，总预算执行率为100%。2025年我单位完成以下工作内容：按时发放人员工资、津贴、奖金，按时缴纳各类社保、医保、职业年金、住房公积金等，按时支付学校各项办公经费，使学校正常运转。落实有关教育经费的法规政策，本学年各学科平均分提升5%，德育活动参与率达到98%，培养学生的创新精神和实践能力为重点，深化教育教学改革，推动学校教育教学工作的高质量发展，实现学校可持续发展、品牌化发展的目标。落实有关教育经费的法规政策，义务教育入学率达到100%，教学任务完成率100%，课后托管服务兴趣班26个， 学生的综合素质测评达标率达率100%，让国家优惠政策落实到每家每户，受益群众的满意度达到95%。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各学科平均分提升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学生的综合素质测评达标率达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课后托管服务兴趣班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吉木萨尔县第二小学教育集团2024年工作总结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二小小学公用经费及取暖费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经费123.17万元，我校学生人数1384人，公用经费生均补助720元，暖气费生均补助170元，落实学校经费管理的主体责任，切实加强相关教育经费的统筹安排和使用，合理安排学校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123.17万元，预算执行率100%，本项目实际完成按在校1321人足额落实生均公用经费及暖气费补助，规范用于水电、维修、设备及材料支出。通过项目的实施，增强了办园条件与保教质量，提升了保障幼儿园正常运转，保教服务水平，促进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公用经费享受学生数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&gt;=1384人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该项指标未完成，存在偏差，偏差率为4.55%，偏差原因为：年初学生人数1384，年末学生人数1258人，取平均人数，下一年度改进措施为：紧盯学年人数变动，严格核对杜绝统计偏差。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改善学生的学习环境，提高学习效率和效果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97.73分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二小昌州财教[2024]92号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32万，主要维修：1.崇真楼2260平方米电路改造，124元/平方米，28万元，崇真楼广播线路改造5万元。有效提高改善学生的学习环境，提供更加舒适的课堂，帮助学生更好地专注于学习，提高学习效率，保障了学校师生的安全，美化了校园项目实施得到师生一致好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32万元，资金执行率100%。本项目实际完成崇真楼2260平方米电路改造27万元、崇真楼广播线路改造5万元，通过项目实施，加强了校舍安全保障能力，提升了校园办学条件与环境品质，促进了义务教育学校标准化建设，为师营造安全整洁的教学环境，保障教育教学活动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崇真楼电路改造面积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&gt;=2260平方米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=2260平方米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崇真楼电路改造成本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崇真楼广播线路改造成本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改善教师学生生活环境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二小昌州财教[2024]92号关于提前下达2025年中央城乡义务教育补助经费预算的通知（特殊教育公用经费）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特殊教育经费1.23万元，每年补助标准7000元。做好残疾学生认定工作，确保2名残疾学生获得有效获得资助，进一步提高资助精准度，做到应助尽助。2025年教学质量“奖教奖学”奖金，县财政拨付4.57万元，用于学校表彰教学成果突出、教学方法创新的教师以及品学兼优的学生；购置笔记本、笔、教具等办公用品，保障教学活动顺利进行，提升教学质量必要支出，保障我校学生教育教学工作正常开展。待项目实施完成，争取使学生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5.8万元，资金执行率100%。本项目实际完成2名特残疾学生特殊教育公用经补助1.4万元发放及2025年教学质量“奖教教学”奖金4.4万元拨付工作。通过本项目的实施，加强了特殊教育经费保障力度与教师教学激励机制建设，提升了特殊教育办学保障水平与教师教学工作积极性，促进了特殊教育质量提升与义务教育优质均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25年上半年特教学生人数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购买学习用品次数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学习用品验收合格率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奖教教学经费补助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该项指标未完成，存在偏差，偏差率为3.72%，偏差原因为：项目前期手续费办理流程繁琐，立项审批周期较长，下一年度改进措施为：做好项目储备，立项论证和方案设计。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残疾家长及学生满意度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99.16分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二小昌州财教[2024]98号关于提前下达2025年自治区城乡义务教育补助经费预算的通知（小学家庭经济困难学生生活补助）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城乡义务教育补助经费3.28万元，做好家庭经济困难学生认定和生活补助发放工作，提高资助的精准度，我校非住宿生63人，非住宿生生均伙食补助625元，使家庭经济困难学生安心完成学业。争取使受益学生及家长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3.28万元，资金执行率100%，本项目实际为89名非住宿生按625元/年足额发放补助。通过项目的实施，加强了义务教育阶段学生资助政策落实，提升了困难学生基本生活保障水平，有效减轻了学生家庭经济负担，促进了教育公平，助力控辍保学工作开展，保障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25年上学期享受补助人数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非住宿生补助标准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25年上学期受益家庭户数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6.76万元，参加课后服务64人，每人400元标准收取课后服务费。国家在推进课后服务工作时，明确要求“坚持公益普惠”原则，强调要保庭经济困难学生等特殊群体平等享受课后服务的权力，免除困难学生费用作为落实政策的重要内容。使得受益家长及学生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6.76万元，资金执行率100%。本项目实际完成2024年下半年64人，2025年上半年63人、下半年42名家庭经济困难及寄宿制学生课后服务费免除工作，足额落实每生400元补助标准。通过项目实施，加强了教育民生保障力度，提升了困难学生就学保障水平，促进了教育公平，切实减轻了困难家庭经济负担。</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24年下半年享受课后托管费学生人数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&lt;=2个小时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减轻家庭负担，助力学生全面发展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2025年自治区义务教育阶段班主任津贴补贴11.8万元，我校班主任人数31人，补助10个月，稳定我校教师队伍，实施义务阶段班主任津贴补助政策，提高班主任工作积极性，提高班级管理水平。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11.8万元，资金执行率100%。本项目实际完成为31名班主任发放10个月津贴，每人每月400元。通过本项目的实施，加强了班主任队伍建设与班级管理保障，提升了班主任工作积极性与岗位稳定性，促进了学校骄傲用户教学管理质量持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教师队伍建设情况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第二小学—昌州财教[2025]5号关于下达2025年昌吉州教育项目州本级配套资金的通知（教师体检补助）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85人，共计拨付4.25万元，对我校教职员工开展健康体检，有效改善教师身体健康状况，及时发现教师潜在病症，争取使教师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4.25万元，资金执行率100%。本项目实际完成为85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