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吉木萨尔县第二中学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全面负责学校工作，认真贯彻落实党和国家的方针、政策，全面实施素质教育，培养德、智、体、美等方面全面发展的社会主义事业的建设者和接班人。根据教育规律、社会要求和学校实际，组织制定学校发展的远景规划、近期目标、学年和学期各项工作计划以及各项工作指标并组织实施。加强学校的科学化管理，制定和健全各项规章制度，规范办学行为，培养良好校风。负责教师队伍建设工作，决定校内教职工的工作安排，组织对教职工进行考核，实施奖惩。领导和组织学校的思想政治工作，把德育工作放在首位。研究思想政治工作的要求、内容、方法和规律，不断加强对学生的思想政治、法制纪律和道德品质教育以及做好管理工作。负责领导和组织学校的教学工作，坚持以教学为中心，保证教学计划的贯彻执行。组织制定和实施校舍建设和校园建设规划，加强对财务工作的领导，正确使用各项经费，不断改善办学条件，强化安全工作管理，创造良好的育人环境。加强与党支部的合作，主动接受学校党组织的监督，搞好领导班子的团结和协作。依靠群众办学，实行民主管理和民主监督。主持学校与学生家长及社会的联系工作和外来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吉木萨尔县第二中学无下属预算单位。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2025年度收入总计4,477.22万元，</w:t>
      </w:r>
      <w:r>
        <w:rPr>
          <w:rFonts w:ascii="仿宋_GB2312" w:hAnsi="仿宋_GB2312" w:eastAsia="仿宋_GB2312"/>
          <w:b w:val="0"/>
          <w:sz w:val="32"/>
        </w:rPr>
        <w:t>其中：本年收入合计4,442.28万元，使用非财政拨款结余（含专用结余）0.00万元，年初结转和结余34.93万元。</w:t>
      </w:r>
    </w:p>
    <w:p>
      <w:pPr>
        <w:spacing w:line="580" w:lineRule="exact"/>
        <w:ind w:firstLine="640"/>
        <w:jc w:val="both"/>
      </w:pPr>
      <w:r>
        <w:rPr>
          <w:rFonts w:ascii="仿宋_GB2312" w:hAnsi="仿宋_GB2312" w:eastAsia="仿宋_GB2312"/>
          <w:b/>
          <w:sz w:val="32"/>
        </w:rPr>
        <w:t>2025年度支出总计4,477.22万元，</w:t>
      </w:r>
      <w:r>
        <w:rPr>
          <w:rFonts w:ascii="仿宋_GB2312" w:hAnsi="仿宋_GB2312" w:eastAsia="仿宋_GB2312"/>
          <w:b w:val="0"/>
          <w:sz w:val="32"/>
        </w:rPr>
        <w:t>其中：本年支出合计4,429.86万元，结余分配0.00万元，年末结转和结余47.36万元。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增加539.39万元，增长13.70%，主要原因是：年中追加“三区”人才计划教师专项工作补助经费资金；校舍安全项目预算较上年增加。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本年收入4,442.28万元，</w:t>
      </w:r>
      <w:r>
        <w:rPr>
          <w:rFonts w:ascii="仿宋_GB2312" w:hAnsi="仿宋_GB2312" w:eastAsia="仿宋_GB2312"/>
          <w:b w:val="0"/>
          <w:sz w:val="32"/>
        </w:rPr>
        <w:t>其中：财政拨款收入4,283.12万元，占96.42%；上级补助收入0.00万元，占0.00%；事业收入0.00万元，占0.00%；经营收入0.00万元，占0.00%；附属单位上缴收入0.00万元，占0.00%；其他收入159.17万元，占3.58%。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本年支出4,429.86万元，</w:t>
      </w:r>
      <w:r>
        <w:rPr>
          <w:rFonts w:ascii="仿宋_GB2312" w:hAnsi="仿宋_GB2312" w:eastAsia="仿宋_GB2312"/>
          <w:b w:val="0"/>
          <w:sz w:val="32"/>
        </w:rPr>
        <w:t>其中：基本支出3,852.85万元，占86.97%；项目支出577.00万元，占13.03%；上缴上级支出0.00万元，占0.00%；经营支出0.00万元，占0.00%；对附属单位补助支出0.00万元，占0.00%。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2025年度财政拨款收入总计4,283.12万元，</w:t>
      </w:r>
      <w:r>
        <w:rPr>
          <w:rFonts w:ascii="仿宋_GB2312" w:hAnsi="仿宋_GB2312" w:eastAsia="仿宋_GB2312"/>
          <w:b w:val="0"/>
          <w:sz w:val="32"/>
        </w:rPr>
        <w:t>其中：年初财政拨款结转和结余0.00万元，本年财政拨款收入4,283.12万元。</w:t>
      </w:r>
      <w:r>
        <w:rPr>
          <w:rFonts w:ascii="仿宋_GB2312" w:hAnsi="仿宋_GB2312" w:eastAsia="仿宋_GB2312"/>
          <w:b/>
          <w:sz w:val="32"/>
        </w:rPr>
        <w:t>财政拨款支出总计4,283.12万元，</w:t>
      </w:r>
      <w:r>
        <w:rPr>
          <w:rFonts w:ascii="仿宋_GB2312" w:hAnsi="仿宋_GB2312" w:eastAsia="仿宋_GB2312"/>
          <w:b w:val="0"/>
          <w:sz w:val="32"/>
        </w:rPr>
        <w:t>其中：年末财政拨款结转和结余0.00万元，本年财政拨款支出4,283.12万元。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增加495.04万元，增长13.07%，主要原因是：年中追加“三区”人才计划教师专项工作补助经费资金；校舍安全项目预算较上年增加。</w:t>
      </w:r>
      <w:r>
        <w:rPr>
          <w:rFonts w:ascii="仿宋_GB2312" w:hAnsi="仿宋_GB2312" w:eastAsia="仿宋_GB2312"/>
          <w:b/>
          <w:sz w:val="32"/>
        </w:rPr>
        <w:t>与年初预算相比，</w:t>
      </w:r>
      <w:r>
        <w:rPr>
          <w:rFonts w:ascii="仿宋_GB2312" w:hAnsi="仿宋_GB2312" w:eastAsia="仿宋_GB2312"/>
          <w:b w:val="0"/>
          <w:sz w:val="32"/>
        </w:rPr>
        <w:t>年初预算数3,661.44万元，决算数4,283.12万元，预决算差异率16.98%，主要原因是：年中追加“三区”人才计划教师专项工作补助经费资金；校舍安全项目预算较增加。</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事业发展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初中教育（项）的支出占本年财政拨款支出总额的比重最高，2025年度决算数为3,104.45万元，占比72.48%，主要用于人员工资福利、日常公用经费、“三区”人才计划教师专项工作补助经费、校舍安全项目等。</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2025年度一般公共预算财政拨款支出4,283.12万元，</w:t>
      </w:r>
      <w:r>
        <w:rPr>
          <w:rFonts w:ascii="仿宋_GB2312" w:hAnsi="仿宋_GB2312" w:eastAsia="仿宋_GB2312"/>
          <w:b w:val="0"/>
          <w:sz w:val="32"/>
        </w:rPr>
        <w:t>占本年支出合计的96.69%。</w:t>
      </w:r>
      <w:r>
        <w:rPr>
          <w:rFonts w:ascii="仿宋_GB2312" w:hAnsi="仿宋_GB2312" w:eastAsia="仿宋_GB2312"/>
          <w:b/>
          <w:sz w:val="32"/>
        </w:rPr>
        <w:t>与上年相比，</w:t>
      </w:r>
      <w:r>
        <w:rPr>
          <w:rFonts w:ascii="仿宋_GB2312" w:hAnsi="仿宋_GB2312" w:eastAsia="仿宋_GB2312"/>
          <w:b w:val="0"/>
          <w:sz w:val="32"/>
        </w:rPr>
        <w:t>增加495.04万元，增长13.07%，主要原因是：年中追加“三区”人才计划教师专项工作补助经费资金；校舍安全项目预算增加。</w:t>
      </w:r>
      <w:r>
        <w:rPr>
          <w:rFonts w:ascii="仿宋_GB2312" w:hAnsi="仿宋_GB2312" w:eastAsia="仿宋_GB2312"/>
          <w:b/>
          <w:sz w:val="32"/>
        </w:rPr>
        <w:t>与年初预算相比，</w:t>
      </w:r>
      <w:r>
        <w:rPr>
          <w:rFonts w:ascii="仿宋_GB2312" w:hAnsi="仿宋_GB2312" w:eastAsia="仿宋_GB2312"/>
          <w:b w:val="0"/>
          <w:sz w:val="32"/>
        </w:rPr>
        <w:t>年初预算数3,661.44万元，决算数4,283.12万元，预决算差异率16.98%，主要原因是：年中追加“三区”人才计划教师专项工作补助经费资金；校舍安全项目预算增加。</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1.教育支出（类）3,105.51万元，占72.51%。</w:t>
      </w:r>
    </w:p>
    <w:p>
      <w:pPr>
        <w:spacing w:line="580" w:lineRule="exact"/>
        <w:ind w:firstLine="640"/>
        <w:jc w:val="both"/>
      </w:pPr>
      <w:r>
        <w:rPr>
          <w:rFonts w:ascii="仿宋_GB2312" w:hAnsi="仿宋_GB2312" w:eastAsia="仿宋_GB2312"/>
          <w:b w:val="0"/>
          <w:sz w:val="32"/>
        </w:rPr>
        <w:t>2.科学技术支出（类）5.79万元，占0.14%。</w:t>
      </w:r>
    </w:p>
    <w:p>
      <w:pPr>
        <w:spacing w:line="580" w:lineRule="exact"/>
        <w:ind w:firstLine="640"/>
        <w:jc w:val="both"/>
      </w:pPr>
      <w:r>
        <w:rPr>
          <w:rFonts w:ascii="仿宋_GB2312" w:hAnsi="仿宋_GB2312" w:eastAsia="仿宋_GB2312"/>
          <w:b w:val="0"/>
          <w:sz w:val="32"/>
        </w:rPr>
        <w:t>3.社会保障和就业支出（类）665.92万元，占15.55%。</w:t>
      </w:r>
    </w:p>
    <w:p>
      <w:pPr>
        <w:spacing w:line="580" w:lineRule="exact"/>
        <w:ind w:firstLine="640"/>
        <w:jc w:val="both"/>
      </w:pPr>
      <w:r>
        <w:rPr>
          <w:rFonts w:ascii="仿宋_GB2312" w:hAnsi="仿宋_GB2312" w:eastAsia="仿宋_GB2312"/>
          <w:b w:val="0"/>
          <w:sz w:val="32"/>
        </w:rPr>
        <w:t>4.卫生健康支出（类）260.40万元，占6.08%。</w:t>
      </w:r>
    </w:p>
    <w:p>
      <w:pPr>
        <w:spacing w:line="580" w:lineRule="exact"/>
        <w:ind w:firstLine="640"/>
        <w:jc w:val="both"/>
      </w:pPr>
      <w:r>
        <w:rPr>
          <w:rFonts w:ascii="仿宋_GB2312" w:hAnsi="仿宋_GB2312" w:eastAsia="仿宋_GB2312"/>
          <w:b w:val="0"/>
          <w:sz w:val="32"/>
        </w:rPr>
        <w:t>5.住房保障支出（类）245.50万元，占5.73%。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1.一般公共服务支出（类）组织事务（款）一般行政管理事务（项）：支出决算数为0.00万元，比上年决算减少3.00万元，下降100.00%，主要原因是：减少"2024年庭州名师”专项行动首批支持经费。</w:t>
      </w:r>
    </w:p>
    <w:p>
      <w:pPr>
        <w:spacing w:line="580" w:lineRule="exact"/>
        <w:ind w:firstLine="640"/>
        <w:jc w:val="both"/>
      </w:pPr>
      <w:r>
        <w:rPr>
          <w:rFonts w:ascii="仿宋_GB2312" w:hAnsi="仿宋_GB2312" w:eastAsia="仿宋_GB2312"/>
          <w:b w:val="0"/>
          <w:sz w:val="32"/>
        </w:rPr>
        <w:t>2.教育支出（类）普通教育（款）小学教育（项）：支出决算数为0.00万元，比上年决算减少15.30万元，下降100.00%，主要原因是：减少2024年县级配套城乡义务教育补助经费。</w:t>
      </w:r>
    </w:p>
    <w:p>
      <w:pPr>
        <w:spacing w:line="580" w:lineRule="exact"/>
        <w:ind w:firstLine="640"/>
        <w:jc w:val="both"/>
      </w:pPr>
      <w:r>
        <w:rPr>
          <w:rFonts w:ascii="仿宋_GB2312" w:hAnsi="仿宋_GB2312" w:eastAsia="仿宋_GB2312"/>
          <w:b w:val="0"/>
          <w:sz w:val="32"/>
        </w:rPr>
        <w:t>3.教育支出（类）普通教育（款）初中教育（项）：支出决算数为3,104.45万元，比上年决算减少380.84万元，下降10.93%，主要原因是：一是人员减少，人员工资福利支出减少；二是公用经费减少。</w:t>
      </w:r>
    </w:p>
    <w:p>
      <w:pPr>
        <w:spacing w:line="580" w:lineRule="exact"/>
        <w:ind w:firstLine="640"/>
        <w:jc w:val="both"/>
      </w:pPr>
      <w:r>
        <w:rPr>
          <w:rFonts w:ascii="仿宋_GB2312" w:hAnsi="仿宋_GB2312" w:eastAsia="仿宋_GB2312"/>
          <w:b w:val="0"/>
          <w:sz w:val="32"/>
        </w:rPr>
        <w:t>4.教育支出（类）普通教育（款）其他普通教育支出（项）：支出决算数为1.06万元，比上年决算减少38.94万元，下降97.35%，主要原因是：校舍安全项目资金减少，调整至其他分类。</w:t>
      </w:r>
    </w:p>
    <w:p>
      <w:pPr>
        <w:spacing w:line="580" w:lineRule="exact"/>
        <w:ind w:firstLine="640"/>
        <w:jc w:val="both"/>
      </w:pPr>
      <w:r>
        <w:rPr>
          <w:rFonts w:ascii="仿宋_GB2312" w:hAnsi="仿宋_GB2312" w:eastAsia="仿宋_GB2312"/>
          <w:b w:val="0"/>
          <w:sz w:val="32"/>
        </w:rPr>
        <w:t>5.教育支出（类）特殊教育（款）特殊学校教育（项）：支出决算数为0.00万元，比上年决算减少20.00万元，下降100.00%，主要原因是：减少2024年中央财政支持特殊教育补助资金。</w:t>
      </w:r>
    </w:p>
    <w:p>
      <w:pPr>
        <w:spacing w:line="580" w:lineRule="exact"/>
        <w:ind w:firstLine="640"/>
        <w:jc w:val="both"/>
      </w:pPr>
      <w:r>
        <w:rPr>
          <w:rFonts w:ascii="仿宋_GB2312" w:hAnsi="仿宋_GB2312" w:eastAsia="仿宋_GB2312"/>
          <w:b w:val="0"/>
          <w:sz w:val="32"/>
        </w:rPr>
        <w:t>6.教育支出（类）教育费附加安排的支出（款）其他教育费附加安排的支出（项）：支出决算数为0.00万元，比上年决算减少46.51万元，下降100.00%，主要原因是：减少公用采暖费资金，调整至其他分类。</w:t>
      </w:r>
    </w:p>
    <w:p>
      <w:pPr>
        <w:spacing w:line="580" w:lineRule="exact"/>
        <w:ind w:firstLine="640"/>
        <w:jc w:val="both"/>
      </w:pPr>
      <w:r>
        <w:rPr>
          <w:rFonts w:ascii="仿宋_GB2312" w:hAnsi="仿宋_GB2312" w:eastAsia="仿宋_GB2312"/>
          <w:b w:val="0"/>
          <w:sz w:val="32"/>
        </w:rPr>
        <w:t>7.科学技术支出（类）基础研究（款）科技人才队伍建设（项）：支出决算数为5.79万元，比上年决算增加5.79万元，增长100.00%，主要原因是：增加新疆人才发展基金2025年度第二轮支持资金。</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306.08万元，比上年决算增加231.04万元，增长307.89%，主要原因是：本年功能科目调整，养老保险缴费上年度大部分在主科目列支，本年单独列支，导致经费较上年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359.84万元，比上年决算增加354.91万元，增长7,198.99%，主要原因是：本年功能科目调整，机关事业单位职业年金缴费上年度大部分在主科目列支，本年单独列支，导致经费较上年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181.71万元，比上年决算增加102.81万元，增长130.30%，主要原因是：本年功能科目调整，事业单位医疗上年度大部分在主科目列支，本年单独列支，导致经费较上年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78.69万元，比上年决算增加78.69万元，增长100.00%，主要原因是：本年功能科目调整，公务员医疗补助上年度在主科目列支，本年单独列支，导致经费较上年增加。</w:t>
      </w:r>
    </w:p>
    <w:p>
      <w:pPr>
        <w:spacing w:line="580" w:lineRule="exact"/>
        <w:ind w:firstLine="640"/>
        <w:jc w:val="both"/>
      </w:pPr>
      <w:r>
        <w:rPr>
          <w:rFonts w:ascii="仿宋_GB2312" w:hAnsi="仿宋_GB2312" w:eastAsia="仿宋_GB2312"/>
          <w:b w:val="0"/>
          <w:sz w:val="32"/>
        </w:rPr>
        <w:t>12.住房保障支出（类）住房改革支出（款）住房公积金（项）：支出决算数为245.50万元，比上年决算增加226.39万元，增长1,184.67%，主要原因是：本年功能科目调整，住房公积金上年度大部分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2025年度一般公共预算财政拨款基本支出3,706.11万元，其中：</w:t>
      </w:r>
      <w:r>
        <w:rPr>
          <w:rFonts w:ascii="仿宋_GB2312" w:hAnsi="仿宋_GB2312" w:eastAsia="仿宋_GB2312"/>
          <w:b/>
          <w:sz w:val="32"/>
        </w:rPr>
        <w:t>人员经费3,633.04万元，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其他对个人和家庭的补助。</w:t>
      </w:r>
    </w:p>
    <w:p>
      <w:pPr>
        <w:spacing w:line="580" w:lineRule="exact"/>
        <w:ind w:firstLine="640"/>
        <w:jc w:val="both"/>
      </w:pPr>
      <w:r>
        <w:rPr>
          <w:rFonts w:ascii="仿宋_GB2312" w:hAnsi="仿宋_GB2312" w:eastAsia="仿宋_GB2312"/>
          <w:b/>
          <w:sz w:val="32"/>
        </w:rPr>
        <w:t>公用经费73.07万元，</w:t>
      </w:r>
      <w:r>
        <w:rPr>
          <w:rFonts w:ascii="仿宋_GB2312" w:hAnsi="仿宋_GB2312" w:eastAsia="仿宋_GB2312"/>
          <w:b w:val="0"/>
          <w:sz w:val="32"/>
        </w:rPr>
        <w:t>包括：差旅费、培训费、工会经费。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2025年度吉木萨尔县第二中学（事业单位）公用经费支出73.07万元，比上年减少20.53万元，下降21.93%，主要原因是：本年单位部分公用经费在项目中列支，基本支出中公用经费支出减少。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2025年度政府采购支出总额56.12万元，其中：政府采购货物支出5.22万元、政府采购工程支出50.90万元、政府采购服务支出0.00万元。</w:t>
      </w:r>
    </w:p>
    <w:p>
      <w:pPr>
        <w:spacing w:line="580" w:lineRule="exact"/>
        <w:ind w:firstLine="640"/>
        <w:jc w:val="both"/>
      </w:pPr>
      <w:r>
        <w:rPr>
          <w:rFonts w:ascii="仿宋_GB2312" w:hAnsi="仿宋_GB2312" w:eastAsia="仿宋_GB2312"/>
          <w:b w:val="0"/>
          <w:sz w:val="32"/>
        </w:rPr>
        <w:t>授予中小企业合同金额55.73万元，占政府采购支出总额的99.31%，其中：授予小微企业合同金额55.73万元，占政府采购支出总额的99.31%。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18,052.38平方米，价值3,928.80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4,477.22万元，实际执行总额4,429.86万元；预算绩效评价项目8个，全年预算数577.17万元，全年执行数570.04万元。预算绩效管理取得的成效：一是深入贯彻落实立德树人根本任务，切实将党和国家关于中小学德育工作的要求落细落小落实，着力构建了方向正确、内容完善、学段衔接、常态化开展的德育工作体系，将爱国主义教育、社会主义核心价值观教育、中华优秀传统文化教育和革命传统教育纳入思想政治教育课程，将中小学德育内容细化落实到各学科课程的教学目标之中，融入渗透到教育教学全过程。二是围绕爱国主义、集体主义、社会主义核心价值观等主题，开展了一系列形式多样、内容丰富的集团统一策划主题德育活动。积极组织学生参加社会实践活动，让学生走出校园，了解社会，增强社会责任感和实践能力。三是以教育教学为中心，推进课堂教学改革和质量提升工程，提高教学成绩，提升教师专业素养。学校严格执行国家规定的课程设置，加强课程计划的执行和管理，做到了“开齐、上足、教好”。四是扎实有效地开展第二课堂活动，促进学生全面发展，一年来，结合本校实际，开展了多种多样的学生活动，吸引了众多学生的目光，给了他们发挥特长和展示自己的舞台。体音美组利用课外活动时间举行篮球赛、韵律躁比赛、太极扇比赛、迎面接力比赛、乐器独奏、合唱舞蹈、书画作品展；语文组的“品中华古韵、扬文化新帆”知识竞赛与手抄报比赛；物理组的实验仪器制作比赛；数学组的思维导图大赛、运算技能竞赛；英语组的写作大赛等活动。发现的问题及原因：一是家校社协同育人的长效机制尚需完善；二是课堂教学效率还需进一步提高；三是教师专业发展的分层培养机制有待完善；四是校本课程的深度开发与内涵建设仍需加强；五是绩效指标的明确性、可衡量性、相关性还需进一步提升。预算精细化管理还需完善，预算编制管理水平仍有进一步提升的空间。下一步改进措施：一是持续强化政治建设，筑牢政治忠诚根基。坚持严格执行“第一议题”制度，合理安排党组、理论学习中心组学习内容，注重研讨学习成效，常态化、制度化，让广大党员干部切实保持和增强政治性、先进性。二是坚持党务业务齐抓，切实全面履职尽责。三是不断加强组织建设，发挥战斗堡垒作用。扎实抓好机关党建日常工作，不断加大对优秀年轻干部的教育和培养，积极向县委组织部推荐优秀年轻干部，合理安排干部轮岗交流、挂职或跟班学习等。四是严格落实主体责任，坚决守好廉政底线。坚决把全面从严治党摆在首要位置，优化班子成员工作分工，压紧压实班子成员“一岗双责”责任。对行政审批、财务运行、项目验收等重点工作、重点环节、重点岗位涉及人员定期开展监督检查。五是加强绩效业务学习及培训，增强业务人员绩效管理意识，进一步加强预算绩效管理工作，优化项目支出绩效指标体系，完善预算绩效管理制度，有效推动我单位下一年度预算绩效管理工作常态化、规范化。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吉木萨尔县第二中学</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372.53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372.53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372.53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3,288.91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4,104.69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4,057.33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247.58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7,818.04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8,954.44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8,859.72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7,818.04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8,954.44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8,859.72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全面贯彻党的教育方针，落实立德树人根本任务，强化教师队伍建设，坚持党要管党、全面从严治党，以高质量党建引领学校教育事业高质量发展。强化政治建设，筑牢思想根基；夯实组织基础，提升组织力；提升队伍素质，激发内生动力；服务中心大局，彰显党建价值；营造文化氛围。优化校园环境。以教育教学为中心，推进课堂教学改革和质量提升工程，提高教学成绩，提升教师专业素养。按时完成教学任务，德育活动参与率达到98%，入学率达到100%，组织校园活动2次，组织学生体质健康测试工作2次，组织教师参加区州县教研室的线上线下培训2次，助学金资助人数500人，教师外派学习人数达到50人，使得受益家长满意度达到95%，融入教育教学，提升育人实效。推进党建工作与教育教学深度融合，把党建工作融入学科建设、课程建设、课堂教学、人才培养等各环节，实现党建工作与教育教学目标同向、内容同步、措施同力、考核同标。探索“党建+课程思政”模式、开展“党员教师示范课”活动、建立“党员教师联系班级”制度，充分发挥党建工作在教育教学中的引领、保障和促进作用，提升育人实效。</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4477.22万元，实际支出数4429.86万元，预算执行率为98.94%。我单位按照相关工作要求，完成以下工作：组织校园活动2次，组织学生体质健康测试工作2次，组织教师参加区州县教研室的线上线下培训面4次，助学金资助787人，教师外派学习58人。贯彻党的教育方针，落实立德树人根本任务，强化教师队伍建设，坚持党要管党、全面从严治党，以高质量党建引领学校教育事业高质量发展。强化政治建设，筑牢思想根基；夯实组织基础，提升组织力；提升队伍素质，激发内生动力；服务中心大局，彰显党建价值；营造文化氛围。优化校园环境。以教育教学为中心，推进课堂教学改革和质量提升工程，提高教学成绩，提升教师专业素养。按时完成教学任务，德育活动参与率达到98%，入学率达到100%，组织校园活动2次，组织学生体质健康测试工作2次，组织教师参加区州县教研室的线上线下培训4次，助学金资助人数716人，教师外派学习人数达到58人，使得受益家长满意度达到95%，融入教育教学，提升育人实效。推进党建工作与教育教学深度融合，把党建工作融入学科建设、课程建设、课堂教学、人才培养等各环节，实现党建工作与教育教学目标同向、内容同步、措施同力、考核同标。探索“党建+课程思政”模式、开展“党员教师示范课”活动、建立“党员教师联系班级”制度，充分发挥党建工作在教育教学中的引领、保障和促进作用，提升育人实效。</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教学任务完成率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吉木萨尔县第二中学2024年工作总结及吉木萨尔县第二中学2025年工作计划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德育活动参与率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吉木萨尔县第二中学2024年工作总结及吉木萨尔县第二中学2025年工作计划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入学率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吉木萨尔县第二中学2024年工作总结及吉木萨尔县第二中学2025年工作计划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组织校园活动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吉木萨尔县第二中学2024年工作总结及吉木萨尔县第二中学2025年工作计划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组织学生体质健康测试工作</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吉木萨尔县第二中学2024年工作总结及吉木萨尔县第二中学2025年工作计划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组织教师参加区州县教研室的线上线下培训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吉木萨尔县第二中学2024年工作总结及吉木萨尔县第二中学2025年工作计划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助学金资助人数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吉木萨尔县第二中学2024年工作总结及吉木萨尔县第二中学2025年工作计划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=787人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教师外派学习人数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吉木萨尔县第二中学2024年工作总结及吉木萨尔县第二中学2025年工作计划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=58人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吉木萨尔县第二中学2024年工作总结及吉木萨尔县第二中学2025年工作计划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2025年“三区”人才计划教师专项工作补助经费及人才发展基金2025年度第二轮支持资金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69.93%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2.48</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共计拨款14万元。保障名校长1人，银龄教师3人，通过项目实施加强对各类人才的培养和引进工作，提高人才培训质量，促进人才和社会需求的对接，推动国家经济社会的发展，提高人才满意度。招募3名银龄讲学教师，改善学校办学管理水平，进一步提高教师队伍素质，切实推进新疆基础教育事业发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该项目实际支出9.79万元，预算执行率69.93%，剩余资金已结转至2026年。通过项目实施加强对各类人才的培养和引进工作，提高人才培训质量，促进人才和社会需求的对接，推动国家经济社会的发展，提高人才满意度。招募3名银龄讲学教师，改善学校办学管理水平，进一步提高教师队伍素质，切实推进新疆基础教育事业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保障银龄教师数量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保障名校长数量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符合支教讲学条件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此项指标未完成，存在偏差，偏离率30%，偏离绩效目标原因为人才发展基金2025年度第二轮支持资金实际支付5.79万元，剩余资金已结转至2026年。下一年改进措施：按我校财务规定及时完成支付。</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“三区”人才计划教师专项工作补助经费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人才发展基金2025年度第二轮支持资金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此项指标未完成，存在偏差，偏差率为42.1%，偏差原因为实际支付5.79万元，剩余资金已结转至2026年</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引领带动学校教师教学能力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部分达成年度指标并且具有一定效果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此项指标未完成，存在偏差，偏离率40%，偏离绩效目标原因为人才发展基金2025年度第二轮支持资金实际支付5.79万元，剩余资金已结转至2026年。下一年改进措施：按我校财务规定及时完成支付。</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离率100%，偏离绩效目标原因为人才发展基金2025年度第二轮支持资金实际支付5.79万元，剩余资金已结转至2026年，学生满意度未做问卷调查。下一年改进措施：按我校财务规定及时完成支付，并做满意度问卷。</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51.98分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2025年中央城乡义务教育补助经费预算的通知（校舍安全保障）</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92号关于提前下达2025年中央城乡义务教育补助经费预算的通知（校舍安全保障）拨付经费67万元，主要用于学校男生宿舍楼内墙粉刷工程和消防泵房维修改造工程；达到改善校设生活环境，消除学校安全隐患的目的。</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该项目实际支付67万元，预算执行率100%，本项目实际完成学校男生宿舍楼内墙粉刷工程和消防泵房维修改造工程。通过本项目的实施，增强了校设生活环境的改善，提升了排除学校安全隐患的能力，促进了学生的健康成长。使受益学生及家庭满意度达到98.6%。</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男生宿舍楼内粉刷面积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=13220平方米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=13220平方米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消防泵房维修改造面积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学校校舍日常维修改造质量达标率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校舍维修及时率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校舍安全维修成本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改善校园生活环境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103.79%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此项指标为完成，存在偏差，偏差率为-3.79%，偏差原因是为：年初满意度指标设定偏稳健保守；下年度改进措施：科学精准测算设定绩效指标。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义务教育阶段班主任津贴补贴</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第二中学义务教育阶段班主任津贴补贴共计16.6万元。该项目的实施稳定我校教师队伍，实施义务教育阶段班主任津贴补助政策，提高班主任工作积极性，提高班级管理水平。</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截止2025年12月31日，该项目实际拨付16.6万元，支付率100%，实际支付16.6万元，通过实施本项目完成2025年班主任津贴补贴发放加强了班主任队伍建设，提升岗位履职活力，促进育人质量稳步提高。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义务教育班主任津贴补助班级数量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17.73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原因为年初设置绩效目标班主任人数时按教育年报数据填写，2025年实际班主任人数为42人。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教师队伍建设情况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=98.59%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103.78%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此项指标存在偏差，偏差率为-3.78%，偏差原因是为：年初满意度指标设定偏稳健保守；下年度改进措施：科学精准测算设定绩效指标。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=98.59%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97.73分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免除家庭经济困难及寄宿制学生课后服务费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各义务段学校2024年下半年免除家庭经济困难及寄宿制学生课后服务费拨付资金22.2万元；县二中2025年上半年免除家庭经济困难及寄宿制学生课后服务费拨付资金20.88万元。项目计划于2025年12月31日前完成，主要用于减免家庭经济困难学生和寄宿制学生课后服务费，生均补助400元，减轻学生家庭生活负担，学生及家庭满意度达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该项目实际支付40.16万元，预算执行率93.22%，通过实施本项目，增强了对家庭经济困难学生及寄宿制学生课后服务费的保障，提升了享受学生家庭经济压力缓解，按时完成学业，使受益学生及家庭满意度达到97.33%。</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家庭经济困难学生人数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&gt;=522人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困难学生补助标准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减轻家庭经济困难学生家庭负担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此项指标存在偏差，偏差率为-2.45%，偏差原因是为：年初满意度指标设定偏稳健保守；下年度改进措施：科学精准测算设定绩效指标。 改进建议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受益家庭满意度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此项指标存在偏差，偏差率为-2.45%，偏差原因是为：年初满意度指标设定偏稳健保守；下年度改进措施：科学精准测算设定绩效指标。 改进建议</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初中公用经费及特殊教育经费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271.16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345.21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345.21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271.16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345.21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345.21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共计拨付经费345.21万元，主要用于我校学生2123人，其中住宿生457人，公用经费生均补费940元，寄宿制公用经费生均300元，落实学校经费管理的主体责任，切实加强相关教育经费的统筹安排和使用，合理安排学校公用经费，保障其正常教育教学，提高师生满意度；以及完成我校残保金纳税义务。</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该项目实际拨付345.21万元，预算执行率100%，实际支付345.21万元。通过实施本项目完成学校公用经费的支付，落实学校经费管理的主体责任，切实加强相关教育经费的统筹安排和使用，提升了教育教学水平，促进教育均衡优质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义务教育阶段学生人数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&gt;=2123人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=2123人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2123人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&gt;=457人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公用经费生均补助标准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寄宿制公用经费生均补助标准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保障缴纳残疾人保障金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&lt;=49.28万元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保障学校教育教学工作正常开展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此项指标为完成，存在偏差，偏差率为-2.45%，偏差原因是为：年初满意度指标设定偏稳健保守；下年度改进措施：科学精准测算设定绩效指标。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初中家庭经济困难学生生活补助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共拨付初中家庭经济困难学生生活补助资金78.24万元。我校寄宿生457人，生均补助标准1500元，非寄宿生370人，生均补助标准750元，落实义务教育阶段家庭经济困难学生生活费补助政策，按照国家标准对家庭经济困难学生给予生活费补助，减轻家庭经济困难学生经济负担，提高家长及学生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该项目实际拨付78.24万元，预算执行率100%，实际支付78.24万元。通过实施本项目完成学校公用经费的支付，落实学校经费管理的主体责任，切实加强相关教育经费的统筹安排和使用，促进其正常教育教学，提高家长及学生满意度。</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&gt;=457人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&gt;=370人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家庭困难学生补助覆盖率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寄宿生生均补助标准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非寄宿生生均补助标准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家庭经济困难学生经济负担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此项指标未完成，存在偏差，偏差率为-2.45%，偏差原因为：年初满意度指标设定偏稳健保守；下年度改进措施：科学精准测算设定绩效指标。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名师名班主任工作室建设经费及2025年度人才工作经费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项目共计拨款5.99万元。保障名师名班主任1人和庭州名师1人，通过项目实施加强对各类人才的培养和引进工作，提高人才培训质量，促进人才和社会需求的对接，推动国家经济社会的发展，提高人才满意度。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5.99万元，预算执行率100%，实际已完成100%，通过实施本项目加强对各类人才的培养和引进工作，提高人才培训质量，促进人才和社会需求的对接，推动国家经济社会的发展，提高人才满意度，受益教师满意度达到97.89%。</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名师名班主任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庭州名师人数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名师在校覆盖率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资金到位及时率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名师名班主任工作经费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庭州名师工作经费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加强各类人才培养何引进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受益名师满意度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此项指标为完成，存在偏差，偏差率为3.04%，偏差原因是为：年初满意度指标设定偏稳健保守；下年度改进措施：科学精准测算设定绩效指标。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第二中学教师体检补助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吉木萨尔县第二中学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该项目主要用于教师体检补助共拨付资金7.05万元，项目计划于2025年12月31日前实施完成。通过该项目的实施有效改善全州教职工身体健康状况。待项目实施完成，争取使受益人员满意度不低于95%。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7.05万元，预算执行率为100%，实际已完成100%，通过完成此项目对我校141名教职员工开展健康体检，增强了教职工健康保证力度，提升了健康防控与保障水平，促进了教职工队伍稳定建设。有效监控教师身体健，使教师满意度达到98.6%。</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全校教职工人数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教职工体检补助经费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监控教师身体健康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有效监控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有效监控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103.79%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此项指标为完成，存在偏差，偏差率为-3.79%，偏差原因是为：年初满意度指标设定偏稳健保守；下年度改进措施：科学精准测算设定绩效指标。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本单位2025年度无政府采购支出，授予中小企业合同金额0.00万元。</w:t>
      </w:r>
    </w:p>
    <w:p>
      <w:pPr>
        <w:spacing w:line="580" w:lineRule="exact"/>
        <w:ind w:firstLine="640"/>
        <w:jc w:val="both"/>
      </w:pPr>
      <w:r>
        <w:rPr>
          <w:rFonts w:ascii="仿宋_GB2312" w:hAnsi="仿宋_GB2312" w:eastAsia="仿宋_GB2312"/>
          <w:b w:val="0"/>
          <w:sz w:val="32"/>
        </w:rPr>
        <w:t>本年度本单位政府采购为大型企业采购，故授予中小企业合同金额为0.00万元。</w:t>
      </w:r>
    </w:p>
    <w:p>
      <w:pPr>
        <w:spacing w:line="580" w:lineRule="exact"/>
        <w:ind w:firstLine="640"/>
        <w:jc w:val="both"/>
      </w:pPr>
      <w:r>
        <w:rPr>
          <w:rFonts w:ascii="仿宋_GB2312" w:hAnsi="仿宋_GB2312" w:eastAsia="仿宋_GB2312"/>
          <w:b w:val="0"/>
          <w:sz w:val="32"/>
        </w:rPr>
        <w:t>本年度本单位政府采购为大中型企业采购，故授予小微企业合同金额为0.00万元。</w:t>
      </w:r>
    </w:p>
    <w:p>
      <w:pPr>
        <w:spacing w:line="580" w:lineRule="exact"/>
        <w:ind w:firstLine="640"/>
        <w:jc w:val="both"/>
      </w:pPr>
      <w:r>
        <w:rPr>
          <w:rFonts w:ascii="仿宋_GB2312" w:hAnsi="仿宋_GB2312" w:eastAsia="仿宋_GB2312"/>
          <w:b w:val="0"/>
          <w:sz w:val="32"/>
        </w:rPr>
        <w:t>本年度本单位整体绩效自评表由主管部门编报并公开。</w:t>
      </w:r>
    </w:p>
    <w:p>
      <w:pPr>
        <w:spacing w:line="580" w:lineRule="exact"/>
        <w:ind w:firstLine="640"/>
        <w:jc w:val="both"/>
      </w:pPr>
      <w:r>
        <w:rPr>
          <w:rFonts w:ascii="仿宋_GB2312" w:hAnsi="仿宋_GB2312" w:eastAsia="仿宋_GB2312"/>
          <w:b w:val="0"/>
          <w:sz w:val="32"/>
        </w:rPr>
        <w:t>本年度本单位整体绩效自评表不予公开。</w:t>
      </w:r>
    </w:p>
    <w:p>
      <w:pPr>
        <w:spacing w:line="580" w:lineRule="exact"/>
        <w:ind w:firstLine="640"/>
        <w:jc w:val="both"/>
      </w:pPr>
      <w:r>
        <w:rPr>
          <w:rFonts w:ascii="仿宋_GB2312" w:hAnsi="仿宋_GB2312" w:eastAsia="仿宋_GB2312"/>
          <w:b w:val="0"/>
          <w:sz w:val="32"/>
        </w:rPr>
        <w:t>本年本单位其他项目1个，全年预算数3661.44万元，全年执行数4283.12万元。</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