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DE1098">
      <w:pPr>
        <w:rPr>
          <w:rFonts w:hint="eastAsia" w:ascii="黑体" w:hAnsi="黑体" w:eastAsia="黑体"/>
          <w:sz w:val="32"/>
          <w:szCs w:val="32"/>
        </w:rPr>
      </w:pPr>
    </w:p>
    <w:p w14:paraId="7E2F62AB">
      <w:pPr>
        <w:jc w:val="center"/>
        <w:rPr>
          <w:rFonts w:hint="eastAsia" w:ascii="方正小标宋_GBK" w:hAnsi="宋体" w:eastAsia="方正小标宋_GBK"/>
          <w:sz w:val="44"/>
          <w:szCs w:val="44"/>
        </w:rPr>
      </w:pPr>
    </w:p>
    <w:p w14:paraId="7AE936F3">
      <w:pPr>
        <w:jc w:val="center"/>
        <w:rPr>
          <w:rFonts w:hint="eastAsia" w:ascii="方正小标宋_GBK" w:hAnsi="宋体" w:eastAsia="方正小标宋_GBK"/>
          <w:sz w:val="44"/>
          <w:szCs w:val="44"/>
        </w:rPr>
      </w:pPr>
    </w:p>
    <w:p w14:paraId="5FEDF9CB">
      <w:pPr>
        <w:jc w:val="center"/>
        <w:rPr>
          <w:rFonts w:hint="eastAsia" w:ascii="方正小标宋_GBK" w:hAnsi="宋体" w:eastAsia="方正小标宋_GBK"/>
          <w:sz w:val="44"/>
          <w:szCs w:val="44"/>
        </w:rPr>
      </w:pPr>
    </w:p>
    <w:p w14:paraId="4794C1C7">
      <w:pPr>
        <w:jc w:val="center"/>
        <w:rPr>
          <w:rFonts w:hint="eastAsia" w:ascii="方正小标宋_GBK" w:hAnsi="宋体" w:eastAsia="方正小标宋_GBK"/>
          <w:sz w:val="44"/>
          <w:szCs w:val="44"/>
        </w:rPr>
      </w:pPr>
    </w:p>
    <w:p w14:paraId="2FB3E0A1">
      <w:pPr>
        <w:spacing w:line="640" w:lineRule="exact"/>
        <w:jc w:val="center"/>
        <w:rPr>
          <w:rFonts w:hint="eastAsia" w:ascii="方正小标宋_GBK" w:hAnsi="宋体" w:eastAsia="方正小标宋_GBK"/>
          <w:sz w:val="44"/>
          <w:szCs w:val="44"/>
        </w:rPr>
      </w:pPr>
      <w:r>
        <w:rPr>
          <w:rFonts w:hint="eastAsia" w:ascii="方正小标宋_GBK" w:hAnsi="宋体" w:eastAsia="方正小标宋_GBK"/>
          <w:sz w:val="44"/>
          <w:szCs w:val="44"/>
        </w:rPr>
        <w:t>吉木萨尔县科学技术局</w:t>
      </w:r>
    </w:p>
    <w:p w14:paraId="55AD8026">
      <w:pPr>
        <w:spacing w:line="640" w:lineRule="exact"/>
        <w:jc w:val="center"/>
        <w:rPr>
          <w:rFonts w:hint="eastAsia" w:ascii="方正小标宋_GBK" w:hAnsi="宋体" w:eastAsia="方正小标宋_GBK"/>
          <w:sz w:val="44"/>
          <w:szCs w:val="44"/>
        </w:rPr>
      </w:pPr>
      <w:r>
        <w:rPr>
          <w:rFonts w:hint="eastAsia" w:ascii="方正小标宋_GBK" w:hAnsi="宋体" w:eastAsia="方正小标宋_GBK"/>
          <w:sz w:val="44"/>
          <w:szCs w:val="44"/>
        </w:rPr>
        <w:t>2025年度部门决算公开说明</w:t>
      </w:r>
      <w:bookmarkStart w:id="0" w:name="_GoBack"/>
      <w:bookmarkEnd w:id="0"/>
      <w:r>
        <w:rPr>
          <w:rFonts w:hint="eastAsia" w:ascii="方正小标宋_GBK" w:hAnsi="宋体" w:eastAsia="方正小标宋_GBK"/>
          <w:sz w:val="44"/>
          <w:szCs w:val="44"/>
        </w:rPr>
        <w:t/>
      </w:r>
    </w:p>
    <w:p w14:paraId="7C1A23FE">
      <w:pPr>
        <w:spacing w:line="600" w:lineRule="exact"/>
        <w:jc w:val="center"/>
        <w:rPr>
          <w:rFonts w:hint="eastAsia" w:ascii="仿宋_GB2312" w:hAnsi="仿宋_GB2312" w:eastAsia="仿宋_GB2312" w:cs="仿宋_GB2312"/>
          <w:bCs/>
          <w:kern w:val="0"/>
          <w:sz w:val="32"/>
          <w:szCs w:val="32"/>
        </w:rPr>
      </w:pPr>
      <w:r>
        <w:rPr>
          <w:rFonts w:hint="eastAsia" w:ascii="方正小标宋_GBK" w:hAnsi="宋体" w:eastAsia="方正小标宋_GBK"/>
          <w:sz w:val="44"/>
          <w:szCs w:val="44"/>
        </w:rPr>
        <w:br w:type="page"/>
      </w:r>
      <w:r>
        <w:rPr>
          <w:rFonts w:hint="eastAsia" w:ascii="仿宋_GB2312" w:hAnsi="仿宋_GB2312" w:eastAsia="仿宋_GB2312" w:cs="仿宋_GB2312"/>
          <w:b/>
          <w:kern w:val="0"/>
          <w:sz w:val="36"/>
          <w:szCs w:val="36"/>
        </w:rPr>
        <w:t>目  录</w:t>
      </w:r>
    </w:p>
    <w:p w14:paraId="11E3C096">
      <w:pPr>
        <w:pStyle w:val="6"/>
        <w:tabs>
          <w:tab w:val="right" w:leader="dot" w:pos="8306"/>
        </w:tabs>
        <w:spacing w:line="60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"_Toc31918" </w:instrText>
      </w:r>
      <w:r>
        <w:fldChar w:fldCharType="separate"/>
      </w:r>
      <w:r>
        <w:rPr>
          <w:rFonts w:hint="eastAsia" w:ascii="仿宋_GB2312" w:hAnsi="仿宋_GB2312" w:eastAsia="仿宋_GB2312" w:cs="仿宋_GB2312"/>
          <w:b/>
          <w:bCs/>
          <w:sz w:val="32"/>
          <w:szCs w:val="32"/>
        </w:rPr>
        <w:t>第一部分 单位概况</w:t>
      </w:r>
      <w:r>
        <w:rPr>
          <w:rFonts w:hint="eastAsia" w:ascii="仿宋_GB2312" w:hAnsi="仿宋_GB2312" w:eastAsia="仿宋_GB2312" w:cs="仿宋_GB2312"/>
          <w:b/>
          <w:bCs/>
          <w:sz w:val="32"/>
          <w:szCs w:val="32"/>
        </w:rPr>
        <w:fldChar w:fldCharType="end"/>
      </w:r>
    </w:p>
    <w:p w14:paraId="695FF0F6">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"_Toc2898"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14:paraId="20AC0F98">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"_Toc1387" </w:instrText>
      </w:r>
      <w:r>
        <w:fldChar w:fldCharType="separate"/>
      </w:r>
      <w:r>
        <w:rPr>
          <w:rFonts w:hint="eastAsia" w:ascii="仿宋_GB2312" w:hAnsi="仿宋_GB2312" w:eastAsia="仿宋_GB2312" w:cs="仿宋_GB2312"/>
          <w:bCs/>
          <w:kern w:val="0"/>
          <w:sz w:val="32"/>
          <w:szCs w:val="32"/>
        </w:rPr>
        <w:t>二、机构设置</w:t>
      </w:r>
      <w:r>
        <w:rPr>
          <w:rFonts w:hint="eastAsia" w:ascii="仿宋_GB2312" w:hAnsi="仿宋_GB2312" w:eastAsia="仿宋_GB2312" w:cs="仿宋_GB2312"/>
          <w:bCs/>
          <w:kern w:val="0"/>
          <w:sz w:val="32"/>
          <w:szCs w:val="32"/>
        </w:rPr>
        <w:fldChar w:fldCharType="end"/>
      </w:r>
    </w:p>
    <w:p w14:paraId="03DF0839">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"_Toc7559"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14:paraId="1E4B298F">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"_Toc6321"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14:paraId="448604E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"_Toc6311"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14:paraId="6477D7D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"_Toc20629"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14:paraId="64A0CBA4">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"_Toc7371"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14:paraId="07B13FA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"_Toc18905"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14:paraId="35E4954F">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"_Toc1165" </w:instrText>
      </w:r>
      <w:r>
        <w:fldChar w:fldCharType="separate"/>
      </w:r>
      <w:r>
        <w:rPr>
          <w:rFonts w:hint="eastAsia" w:ascii="仿宋_GB2312" w:hAnsi="仿宋_GB2312" w:eastAsia="仿宋_GB2312" w:cs="仿宋_GB2312"/>
          <w:sz w:val="32"/>
          <w:szCs w:val="32"/>
        </w:rPr>
        <w:t>（一）一般公共预算财政拨款支出决算总体情况</w:t>
      </w:r>
      <w:r>
        <w:rPr>
          <w:rFonts w:hint="eastAsia" w:ascii="仿宋_GB2312" w:hAnsi="仿宋_GB2312" w:eastAsia="仿宋_GB2312" w:cs="仿宋_GB2312"/>
          <w:sz w:val="32"/>
          <w:szCs w:val="32"/>
        </w:rPr>
        <w:fldChar w:fldCharType="end"/>
      </w:r>
    </w:p>
    <w:p w14:paraId="1D40B9CA">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"_Toc27147" </w:instrText>
      </w:r>
      <w:r>
        <w:fldChar w:fldCharType="separate"/>
      </w:r>
      <w:r>
        <w:rPr>
          <w:rFonts w:hint="eastAsia" w:ascii="仿宋_GB2312" w:hAnsi="仿宋_GB2312" w:eastAsia="仿宋_GB2312" w:cs="仿宋_GB2312"/>
          <w:sz w:val="32"/>
          <w:szCs w:val="32"/>
        </w:rPr>
        <w:t>（二）一般公共预算财政拨款支出决算结构情况</w:t>
      </w:r>
      <w:r>
        <w:rPr>
          <w:rFonts w:hint="eastAsia" w:ascii="仿宋_GB2312" w:hAnsi="仿宋_GB2312" w:eastAsia="仿宋_GB2312" w:cs="仿宋_GB2312"/>
          <w:sz w:val="32"/>
          <w:szCs w:val="32"/>
        </w:rPr>
        <w:fldChar w:fldCharType="end"/>
      </w:r>
    </w:p>
    <w:p w14:paraId="572435CD">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"_Toc10037" </w:instrText>
      </w:r>
      <w:r>
        <w:fldChar w:fldCharType="separate"/>
      </w:r>
      <w:r>
        <w:rPr>
          <w:rFonts w:hint="eastAsia" w:ascii="仿宋_GB2312" w:hAnsi="仿宋_GB2312" w:eastAsia="仿宋_GB2312" w:cs="仿宋_GB2312"/>
          <w:sz w:val="32"/>
          <w:szCs w:val="32"/>
        </w:rPr>
        <w:t>（三）一般公共预算财政拨款支出决算具体情况</w:t>
      </w:r>
      <w:r>
        <w:rPr>
          <w:rFonts w:hint="eastAsia" w:ascii="仿宋_GB2312" w:hAnsi="仿宋_GB2312" w:eastAsia="仿宋_GB2312" w:cs="仿宋_GB2312"/>
          <w:sz w:val="32"/>
          <w:szCs w:val="32"/>
        </w:rPr>
        <w:fldChar w:fldCharType="end"/>
      </w:r>
    </w:p>
    <w:p w14:paraId="2330D4E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"_Toc23415"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14:paraId="2363D305">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"_Toc7523" </w:instrText>
      </w:r>
      <w:r>
        <w:fldChar w:fldCharType="separate"/>
      </w:r>
      <w:r>
        <w:rPr>
          <w:rFonts w:hint="eastAsia" w:ascii="仿宋_GB2312" w:hAnsi="仿宋_GB2312" w:eastAsia="仿宋_GB2312" w:cs="仿宋_GB2312"/>
          <w:bCs/>
          <w:kern w:val="0"/>
          <w:sz w:val="32"/>
          <w:szCs w:val="32"/>
        </w:rPr>
        <w:t>七、政府性基金预算财政拨款收入支出决算情况说明</w:t>
      </w:r>
      <w:r>
        <w:rPr>
          <w:rFonts w:hint="eastAsia" w:ascii="仿宋_GB2312" w:hAnsi="仿宋_GB2312" w:eastAsia="仿宋_GB2312" w:cs="仿宋_GB2312"/>
          <w:bCs/>
          <w:kern w:val="0"/>
          <w:sz w:val="32"/>
          <w:szCs w:val="32"/>
        </w:rPr>
        <w:fldChar w:fldCharType="end"/>
      </w:r>
    </w:p>
    <w:p w14:paraId="47A33664">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"_Toc5563" </w:instrText>
      </w:r>
      <w:r>
        <w:fldChar w:fldCharType="separate"/>
      </w:r>
      <w:r>
        <w:rPr>
          <w:rFonts w:hint="eastAsia" w:ascii="仿宋_GB2312" w:hAnsi="仿宋_GB2312" w:eastAsia="仿宋_GB2312" w:cs="仿宋_GB2312"/>
          <w:bCs/>
          <w:kern w:val="0"/>
          <w:sz w:val="32"/>
          <w:szCs w:val="32"/>
        </w:rPr>
        <w:t>八、国有资本经营预算财政拨款收入支出决算情况说明</w:t>
      </w:r>
      <w:r>
        <w:rPr>
          <w:rFonts w:hint="eastAsia" w:ascii="仿宋_GB2312" w:hAnsi="仿宋_GB2312" w:eastAsia="仿宋_GB2312" w:cs="仿宋_GB2312"/>
          <w:bCs/>
          <w:kern w:val="0"/>
          <w:sz w:val="32"/>
          <w:szCs w:val="32"/>
        </w:rPr>
        <w:fldChar w:fldCharType="end"/>
      </w:r>
    </w:p>
    <w:p w14:paraId="5B6A706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"_Toc9161" </w:instrText>
      </w:r>
      <w:r>
        <w:fldChar w:fldCharType="separate"/>
      </w:r>
      <w:r>
        <w:rPr>
          <w:rFonts w:hint="eastAsia" w:ascii="仿宋_GB2312" w:hAnsi="仿宋_GB2312" w:eastAsia="仿宋_GB2312" w:cs="仿宋_GB2312"/>
          <w:bCs/>
          <w:kern w:val="0"/>
          <w:sz w:val="32"/>
          <w:szCs w:val="32"/>
        </w:rPr>
        <w:t>九、财政拨款“三公”经费支出决算情况说明</w:t>
      </w:r>
      <w:r>
        <w:rPr>
          <w:rFonts w:hint="eastAsia" w:ascii="仿宋_GB2312" w:hAnsi="仿宋_GB2312" w:eastAsia="仿宋_GB2312" w:cs="仿宋_GB2312"/>
          <w:bCs/>
          <w:kern w:val="0"/>
          <w:sz w:val="32"/>
          <w:szCs w:val="32"/>
        </w:rPr>
        <w:fldChar w:fldCharType="end"/>
      </w:r>
    </w:p>
    <w:p w14:paraId="1D67ADC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"_Toc16395" </w:instrText>
      </w:r>
      <w:r>
        <w:fldChar w:fldCharType="separate"/>
      </w:r>
      <w:r>
        <w:rPr>
          <w:rFonts w:hint="eastAsia" w:ascii="仿宋_GB2312" w:hAnsi="仿宋_GB2312" w:eastAsia="仿宋_GB2312" w:cs="仿宋_GB2312"/>
          <w:bCs/>
          <w:kern w:val="0"/>
          <w:sz w:val="32"/>
          <w:szCs w:val="32"/>
        </w:rPr>
        <w:t>十、其他重要事项的情况说明</w:t>
      </w:r>
      <w:r>
        <w:rPr>
          <w:rFonts w:hint="eastAsia" w:ascii="仿宋_GB2312" w:hAnsi="仿宋_GB2312" w:eastAsia="仿宋_GB2312" w:cs="仿宋_GB2312"/>
          <w:bCs/>
          <w:kern w:val="0"/>
          <w:sz w:val="32"/>
          <w:szCs w:val="32"/>
        </w:rPr>
        <w:fldChar w:fldCharType="end"/>
      </w:r>
    </w:p>
    <w:p w14:paraId="2D81D31B">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"_Toc21748" </w:instrText>
      </w:r>
      <w:r>
        <w:fldChar w:fldCharType="separate"/>
      </w:r>
      <w:r>
        <w:rPr>
          <w:rFonts w:hint="eastAsia" w:ascii="仿宋_GB2312" w:hAnsi="仿宋_GB2312" w:eastAsia="仿宋_GB2312" w:cs="仿宋_GB2312"/>
          <w:sz w:val="32"/>
          <w:szCs w:val="32"/>
        </w:rPr>
        <w:t>（一）机关运行经费及公用经费支出情况</w:t>
      </w:r>
      <w:r>
        <w:rPr>
          <w:rFonts w:hint="eastAsia" w:ascii="仿宋_GB2312" w:hAnsi="仿宋_GB2312" w:eastAsia="仿宋_GB2312" w:cs="仿宋_GB2312"/>
          <w:sz w:val="32"/>
          <w:szCs w:val="32"/>
        </w:rPr>
        <w:fldChar w:fldCharType="end"/>
      </w:r>
    </w:p>
    <w:p w14:paraId="688C6E4D">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"_Toc25177"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14:paraId="6E70625A">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"_Toc31294"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14:paraId="687A037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"_Toc17664"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14:paraId="2BE4C8B9">
      <w:pPr>
        <w:spacing w:line="600" w:lineRule="exact"/>
        <w:rPr>
          <w:rFonts w:eastAsia="仿宋_GB2312"/>
        </w:rPr>
      </w:pPr>
      <w:r>
        <w:rPr>
          <w:rFonts w:hint="eastAsia" w:ascii="仿宋_GB2312" w:hAnsi="仿宋_GB2312" w:eastAsia="仿宋_GB2312" w:cs="仿宋_GB2312"/>
          <w:sz w:val="32"/>
          <w:szCs w:val="32"/>
        </w:rPr>
        <w:t>十二、</w:t>
      </w:r>
      <w:r>
        <w:rPr>
          <w:rFonts w:ascii="仿宋_GB2312" w:hAnsi="仿宋_GB2312" w:eastAsia="仿宋_GB2312" w:cs="仿宋_GB2312"/>
          <w:sz w:val="32"/>
          <w:szCs w:val="32"/>
        </w:rPr>
        <w:t>其他需说明的事项</w:t>
      </w:r>
    </w:p>
    <w:p w14:paraId="02F533C8">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"_Toc30038"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14:paraId="13D03994">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"_Toc6831"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14:paraId="363DA5E8">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"_Toc3845"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14:paraId="7612762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"_Toc11927"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14:paraId="3D4C3500">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"_Toc7443"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14:paraId="2F9A11B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"_Toc24884"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14:paraId="44A5CB8E">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"_Toc16518"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14:paraId="277EE406">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"_Toc20514"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14:paraId="49FE8110">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"_Toc18055" </w:instrText>
      </w:r>
      <w:r>
        <w:fldChar w:fldCharType="separate"/>
      </w:r>
      <w:r>
        <w:rPr>
          <w:rFonts w:hint="eastAsia" w:ascii="仿宋_GB2312" w:hAnsi="仿宋_GB2312" w:eastAsia="仿宋_GB2312" w:cs="仿宋_GB2312"/>
          <w:bCs/>
          <w:kern w:val="0"/>
          <w:sz w:val="32"/>
          <w:szCs w:val="32"/>
        </w:rPr>
        <w:t>七、《政府性基金预算财政拨款收入支出决算表》</w:t>
      </w:r>
      <w:r>
        <w:rPr>
          <w:rFonts w:hint="eastAsia" w:ascii="仿宋_GB2312" w:hAnsi="仿宋_GB2312" w:eastAsia="仿宋_GB2312" w:cs="仿宋_GB2312"/>
          <w:bCs/>
          <w:kern w:val="0"/>
          <w:sz w:val="32"/>
          <w:szCs w:val="32"/>
        </w:rPr>
        <w:fldChar w:fldCharType="end"/>
      </w:r>
    </w:p>
    <w:p w14:paraId="43AA1635">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"_Toc10719" </w:instrText>
      </w:r>
      <w:r>
        <w:fldChar w:fldCharType="separate"/>
      </w:r>
      <w:r>
        <w:rPr>
          <w:rFonts w:hint="eastAsia" w:ascii="仿宋_GB2312" w:hAnsi="仿宋_GB2312" w:eastAsia="仿宋_GB2312" w:cs="仿宋_GB2312"/>
          <w:bCs/>
          <w:kern w:val="0"/>
          <w:sz w:val="32"/>
          <w:szCs w:val="32"/>
        </w:rPr>
        <w:t>八、《国有资本经营预算财政拨款收入支出决算表》</w:t>
      </w:r>
      <w:r>
        <w:rPr>
          <w:rFonts w:hint="eastAsia" w:ascii="仿宋_GB2312" w:hAnsi="仿宋_GB2312" w:eastAsia="仿宋_GB2312" w:cs="仿宋_GB2312"/>
          <w:bCs/>
          <w:kern w:val="0"/>
          <w:sz w:val="32"/>
          <w:szCs w:val="32"/>
        </w:rPr>
        <w:fldChar w:fldCharType="end"/>
      </w:r>
    </w:p>
    <w:p w14:paraId="5D4DF260">
      <w:pPr>
        <w:pStyle w:val="7"/>
        <w:tabs>
          <w:tab w:val="right" w:leader="dot" w:pos="8306"/>
        </w:tabs>
        <w:spacing w:line="600" w:lineRule="exact"/>
        <w:ind w:left="0" w:leftChars="0"/>
        <w:rPr>
          <w:rFonts w:hint="eastAsia" w:ascii="黑体" w:hAnsi="黑体" w:eastAsia="黑体" w:cs="宋体"/>
          <w:bCs/>
          <w:kern w:val="0"/>
          <w:sz w:val="32"/>
          <w:szCs w:val="32"/>
        </w:rPr>
      </w:pPr>
      <w:r>
        <w:fldChar w:fldCharType="begin"/>
      </w:r>
      <w:r>
        <w:instrText xml:space="preserve"> HYPERLINK \l "_Toc18861" </w:instrText>
      </w:r>
      <w:r>
        <w:fldChar w:fldCharType="separate"/>
      </w:r>
      <w:r>
        <w:rPr>
          <w:rFonts w:hint="eastAsia" w:ascii="仿宋_GB2312" w:hAnsi="仿宋_GB2312" w:eastAsia="仿宋_GB2312" w:cs="仿宋_GB2312"/>
          <w:bCs/>
          <w:kern w:val="0"/>
          <w:sz w:val="32"/>
          <w:szCs w:val="32"/>
        </w:rPr>
        <w:t>九、《财政拨款“三公”经费支出决算表》</w:t>
      </w:r>
      <w:r>
        <w:rPr>
          <w:rFonts w:hint="eastAsia" w:ascii="仿宋_GB2312" w:hAnsi="仿宋_GB2312" w:eastAsia="仿宋_GB2312" w:cs="仿宋_GB2312"/>
          <w:bCs/>
          <w:kern w:val="0"/>
          <w:sz w:val="32"/>
          <w:szCs w:val="32"/>
        </w:rPr>
        <w:fldChar w:fldCharType="end"/>
      </w:r>
      <w:r>
        <w:rPr>
          <w:rFonts w:hint="eastAsia" w:ascii="仿宋_GB2312" w:hAnsi="仿宋_GB2312" w:eastAsia="仿宋_GB2312" w:cs="仿宋_GB2312"/>
          <w:sz w:val="32"/>
          <w:szCs w:val="32"/>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ascii="仿宋_GB2312" w:hAnsi="仿宋_GB2312" w:eastAsia="仿宋_GB2312"/>
          <w:sz w:val="32"/>
        </w:rPr>
        <w:t>1、负责组织制定实施全县各类科技，负责统筹协调基础研究、应用技术研究和社会公益性研究以及国民经济与社会发展重大关键技术攻关，推动全县科技创新体系建设，提高科技创新能力。</w:t>
      </w:r>
    </w:p>
    <w:p>
      <w:pPr>
        <w:spacing w:line="580" w:lineRule="exact"/>
        <w:ind w:firstLine="640"/>
        <w:jc w:val="both"/>
      </w:pPr>
      <w:r>
        <w:rPr>
          <w:rFonts w:ascii="仿宋_GB2312" w:hAnsi="仿宋_GB2312" w:eastAsia="仿宋_GB2312"/>
          <w:sz w:val="32"/>
        </w:rPr>
        <w:t>2、会同有关部门拟订重大创新基地建设、科研条件保障的规划和政策、措施，推进科技基础条件平台建设和科技资源共享。</w:t>
      </w:r>
    </w:p>
    <w:p>
      <w:pPr>
        <w:spacing w:line="580" w:lineRule="exact"/>
        <w:ind w:firstLine="640"/>
        <w:jc w:val="both"/>
      </w:pPr>
      <w:r>
        <w:rPr>
          <w:rFonts w:ascii="仿宋_GB2312" w:hAnsi="仿宋_GB2312" w:eastAsia="仿宋_GB2312"/>
          <w:sz w:val="32"/>
        </w:rPr>
        <w:t>3、组织拟订科技促进农村发展的方针政策，制定相关重要措施和办法，协调农村科技体系建设，组织科技促进现代农业发展的关键技术攻关和成果示范，促进以改善民生为重点的农村建设。</w:t>
      </w:r>
    </w:p>
    <w:p>
      <w:pPr>
        <w:spacing w:line="580" w:lineRule="exact"/>
        <w:ind w:firstLine="640"/>
        <w:jc w:val="both"/>
      </w:pPr>
      <w:r>
        <w:rPr>
          <w:rFonts w:ascii="仿宋_GB2312" w:hAnsi="仿宋_GB2312" w:eastAsia="仿宋_GB2312"/>
          <w:sz w:val="32"/>
        </w:rPr>
        <w:t>4、会同有关部门拟订促进产学研结合的相关政策、制定科技成果推广政策，指导科技成果转化工作，组织相关重大科技成果应用示范，推动企业自主创新能力建设。</w:t>
      </w:r>
    </w:p>
    <w:p>
      <w:pPr>
        <w:spacing w:line="640" w:lineRule="exact"/>
        <w:ind w:firstLine="640"/>
        <w:jc w:val="both"/>
        <w:outlineLvl w:val="2"/>
      </w:pPr>
      <w:r>
        <w:rPr>
          <w:rFonts w:ascii="黑体" w:hAnsi="黑体" w:eastAsia="黑体"/>
          <w:sz w:val="32"/>
        </w:rPr>
        <w:t>二、机构设置</w:t>
      </w:r>
    </w:p>
    <w:p>
      <w:pPr>
        <w:spacing w:line="580" w:lineRule="exact"/>
        <w:ind w:firstLine="640"/>
        <w:jc w:val="both"/>
      </w:pPr>
      <w:r>
        <w:rPr>
          <w:rFonts w:ascii="仿宋_GB2312" w:hAnsi="仿宋_GB2312" w:eastAsia="仿宋_GB2312"/>
          <w:sz w:val="32"/>
        </w:rPr>
        <w:t>吉木萨尔县科学技术局无下属预算单位。</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2025年度收入总计247.34万元，</w:t>
      </w:r>
      <w:r>
        <w:rPr>
          <w:rFonts w:ascii="仿宋_GB2312" w:hAnsi="仿宋_GB2312" w:eastAsia="仿宋_GB2312"/>
          <w:b w:val="0"/>
          <w:sz w:val="32"/>
        </w:rPr>
        <w:t>其中：本年收入合计242.68万元，使用非财政拨款结余（含专用结余）0.00万元，年初结转和结余4.66万元。</w:t>
      </w:r>
    </w:p>
    <w:p>
      <w:pPr>
        <w:spacing w:line="580" w:lineRule="exact"/>
        <w:ind w:firstLine="640"/>
        <w:jc w:val="both"/>
      </w:pPr>
      <w:r>
        <w:rPr>
          <w:rFonts w:ascii="仿宋_GB2312" w:hAnsi="仿宋_GB2312" w:eastAsia="仿宋_GB2312"/>
          <w:b/>
          <w:sz w:val="32"/>
        </w:rPr>
        <w:t>2025年度支出总计247.34万元，</w:t>
      </w:r>
      <w:r>
        <w:rPr>
          <w:rFonts w:ascii="仿宋_GB2312" w:hAnsi="仿宋_GB2312" w:eastAsia="仿宋_GB2312"/>
          <w:b w:val="0"/>
          <w:sz w:val="32"/>
        </w:rPr>
        <w:t>其中：本年支出合计241.68万元，结余分配0.00万元，年末结转和结余5.67万元。</w:t>
      </w:r>
    </w:p>
    <w:p>
      <w:pPr>
        <w:spacing w:line="580" w:lineRule="exact"/>
        <w:ind w:firstLine="640"/>
        <w:jc w:val="both"/>
      </w:pPr>
      <w:r>
        <w:rPr>
          <w:rFonts w:ascii="仿宋_GB2312" w:hAnsi="仿宋_GB2312" w:eastAsia="仿宋_GB2312"/>
          <w:b/>
          <w:sz w:val="32"/>
        </w:rPr>
        <w:t>收入支出总体与上年相比，</w:t>
      </w:r>
      <w:r>
        <w:rPr>
          <w:rFonts w:ascii="仿宋_GB2312" w:hAnsi="仿宋_GB2312" w:eastAsia="仿宋_GB2312"/>
          <w:b w:val="0"/>
          <w:sz w:val="32"/>
        </w:rPr>
        <w:t>减少531.64万元，下降68.25%，主要原因是：严控经费支出，厉行节约，减少经费支出。严格控制公用经费，合理节约办公用品，减少不必要开支。</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本年收入242.68万元，</w:t>
      </w:r>
      <w:r>
        <w:rPr>
          <w:rFonts w:ascii="仿宋_GB2312" w:hAnsi="仿宋_GB2312" w:eastAsia="仿宋_GB2312"/>
          <w:b w:val="0"/>
          <w:sz w:val="32"/>
        </w:rPr>
        <w:t>其中：财政拨款收入240.68万元，占99.18%；上级补助收入0.00万元，占0.00%；事业收入0.00万元，占0.00%；经营收入0.00万元，占0.00%；附属单位上缴收入0.00万元，占0.00%；其他收入2.01万元，占0.83%。</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本年支出241.68万元，</w:t>
      </w:r>
      <w:r>
        <w:rPr>
          <w:rFonts w:ascii="仿宋_GB2312" w:hAnsi="仿宋_GB2312" w:eastAsia="仿宋_GB2312"/>
          <w:b w:val="0"/>
          <w:sz w:val="32"/>
        </w:rPr>
        <w:t>其中：基本支出226.82万元，占93.85%；项目支出14.86万元，占6.15%；上缴上级支出0.00万元，占0.00%；经营支出0.00万元，占0.00%；对附属单位补助支出0.00万元，占0.00%。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2025年度财政拨款收入总计240.68万元，</w:t>
      </w:r>
      <w:r>
        <w:rPr>
          <w:rFonts w:ascii="仿宋_GB2312" w:hAnsi="仿宋_GB2312" w:eastAsia="仿宋_GB2312"/>
          <w:b w:val="0"/>
          <w:sz w:val="32"/>
        </w:rPr>
        <w:t>其中：年初财政拨款结转和结余0.00万元，本年财政拨款收入240.68万元。</w:t>
      </w:r>
      <w:r>
        <w:rPr>
          <w:rFonts w:ascii="仿宋_GB2312" w:hAnsi="仿宋_GB2312" w:eastAsia="仿宋_GB2312"/>
          <w:b/>
          <w:sz w:val="32"/>
        </w:rPr>
        <w:t>财政拨款支出总计240.68万元，</w:t>
      </w:r>
      <w:r>
        <w:rPr>
          <w:rFonts w:ascii="仿宋_GB2312" w:hAnsi="仿宋_GB2312" w:eastAsia="仿宋_GB2312"/>
          <w:b w:val="0"/>
          <w:sz w:val="32"/>
        </w:rPr>
        <w:t>其中：年末财政拨款结转和结余0.00万元，本年财政拨款支出240.68万元。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减少533.48万元，下降68.91%，主要原因是：严控经费支出，厉行节约，减少经费支出。严格控制公用经费，合理节约办公用品，减少不必要开支。</w:t>
      </w:r>
      <w:r>
        <w:rPr>
          <w:rFonts w:ascii="仿宋_GB2312" w:hAnsi="仿宋_GB2312" w:eastAsia="仿宋_GB2312"/>
          <w:b/>
          <w:sz w:val="32"/>
        </w:rPr>
        <w:t>与年初预算相比，</w:t>
      </w:r>
      <w:r>
        <w:rPr>
          <w:rFonts w:ascii="仿宋_GB2312" w:hAnsi="仿宋_GB2312" w:eastAsia="仿宋_GB2312"/>
          <w:b w:val="0"/>
          <w:sz w:val="32"/>
        </w:rPr>
        <w:t>年初预算数207.91万元，决算数240.68万元，预决算差异率15.76%，主要原因是：年中追加人员工资、社保、公积金基数调增部分资金，导致预决算存在差异。</w:t>
      </w:r>
    </w:p>
    <w:p>
      <w:pPr>
        <w:spacing w:line="640" w:lineRule="exact"/>
        <w:ind w:firstLine="640"/>
        <w:jc w:val="both"/>
        <w:outlineLvl w:val="2"/>
      </w:pPr>
      <w:r>
        <w:rPr>
          <w:rFonts w:ascii="黑体" w:hAnsi="黑体" w:eastAsia="黑体"/>
          <w:sz w:val="32"/>
        </w:rPr>
        <w:t>五、一般公共预算财政拨款支出决算情况说明</w:t>
      </w:r>
    </w:p>
    <w:p>
      <w:pPr>
        <w:spacing w:line="580" w:lineRule="exact"/>
        <w:ind w:firstLine="640"/>
        <w:jc w:val="both"/>
      </w:pPr>
      <w:r>
        <w:rPr>
          <w:rFonts w:ascii="仿宋_GB2312" w:hAnsi="仿宋_GB2312" w:eastAsia="仿宋_GB2312"/>
          <w:b w:val="0"/>
          <w:sz w:val="32"/>
        </w:rPr>
        <w:t>按照党中央、国务院关于党政机关习惯过紧日子的有关要求，厉行节约办一切事业，严控一般性支出。同时坚持有保有压，优化支出结构，提高资金使用效率，合理保障机构运行、事业发展等重点支出，体现在有关支出科目中。</w:t>
      </w:r>
    </w:p>
    <w:p>
      <w:pPr>
        <w:spacing w:line="580" w:lineRule="exact"/>
        <w:ind w:firstLine="640"/>
        <w:jc w:val="both"/>
      </w:pPr>
      <w:r>
        <w:rPr>
          <w:rFonts w:ascii="仿宋_GB2312" w:hAnsi="仿宋_GB2312" w:eastAsia="仿宋_GB2312"/>
          <w:b w:val="0"/>
          <w:sz w:val="32"/>
        </w:rPr>
        <w:t>按照支出功能分类，科学技术支出（类）科学技术管理事务（款）行政运行（项）的支出占本年财政拨款支出总额的比重最高，2025年度决算数为120.16万元，占比49.93%，主要用于科学技术支出、社会保障和就业支出。</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2025年度一般公共预算财政拨款支出240.68万元，</w:t>
      </w:r>
      <w:r>
        <w:rPr>
          <w:rFonts w:ascii="仿宋_GB2312" w:hAnsi="仿宋_GB2312" w:eastAsia="仿宋_GB2312"/>
          <w:b w:val="0"/>
          <w:sz w:val="32"/>
        </w:rPr>
        <w:t>占本年支出合计的99.59%。</w:t>
      </w:r>
      <w:r>
        <w:rPr>
          <w:rFonts w:ascii="仿宋_GB2312" w:hAnsi="仿宋_GB2312" w:eastAsia="仿宋_GB2312"/>
          <w:b/>
          <w:sz w:val="32"/>
        </w:rPr>
        <w:t>与上年相比，</w:t>
      </w:r>
      <w:r>
        <w:rPr>
          <w:rFonts w:ascii="仿宋_GB2312" w:hAnsi="仿宋_GB2312" w:eastAsia="仿宋_GB2312"/>
          <w:b w:val="0"/>
          <w:sz w:val="32"/>
        </w:rPr>
        <w:t>减少533.48万元，下降68.91%，主要原因是：减少不必要的支出，合理运用资金。</w:t>
      </w:r>
      <w:r>
        <w:rPr>
          <w:rFonts w:ascii="仿宋_GB2312" w:hAnsi="仿宋_GB2312" w:eastAsia="仿宋_GB2312"/>
          <w:b/>
          <w:sz w:val="32"/>
        </w:rPr>
        <w:t>与年初预算相比，</w:t>
      </w:r>
      <w:r>
        <w:rPr>
          <w:rFonts w:ascii="仿宋_GB2312" w:hAnsi="仿宋_GB2312" w:eastAsia="仿宋_GB2312"/>
          <w:b w:val="0"/>
          <w:sz w:val="32"/>
        </w:rPr>
        <w:t>年初预算数207.91万元，决算数240.68万元，预决算差异率15.76%，主要原因是：加大对高新技术企业的培育力度，年中追加人员工资、社保、公积金基数调增部分资金，导致预决算存在差异。</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1.科学技术支出（类）206.92万元，占85.97%。</w:t>
      </w:r>
    </w:p>
    <w:p>
      <w:pPr>
        <w:spacing w:line="580" w:lineRule="exact"/>
        <w:ind w:firstLine="640"/>
        <w:jc w:val="both"/>
      </w:pPr>
      <w:r>
        <w:rPr>
          <w:rFonts w:ascii="仿宋_GB2312" w:hAnsi="仿宋_GB2312" w:eastAsia="仿宋_GB2312"/>
          <w:b w:val="0"/>
          <w:sz w:val="32"/>
        </w:rPr>
        <w:t>2.社会保障和就业支出（类）20.69万元，占8.60%。</w:t>
      </w:r>
    </w:p>
    <w:p>
      <w:pPr>
        <w:spacing w:line="580" w:lineRule="exact"/>
        <w:ind w:firstLine="640"/>
        <w:jc w:val="both"/>
      </w:pPr>
      <w:r>
        <w:rPr>
          <w:rFonts w:ascii="仿宋_GB2312" w:hAnsi="仿宋_GB2312" w:eastAsia="仿宋_GB2312"/>
          <w:b w:val="0"/>
          <w:sz w:val="32"/>
        </w:rPr>
        <w:t>3.住房保障支出（类）13.06万元，占5.43%。</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科学技术支出（类）科学技术管理事务（款）行政运行（项）：支出决算数为120.16万元，比上年决算减少239.95万元，下降66.63%，主要原因是：本年在职人员调入调出，人员职级不同，工资基数不同，导致人员经费较上年减少。</w:t>
      </w:r>
    </w:p>
    <w:p>
      <w:pPr>
        <w:spacing w:line="580" w:lineRule="exact"/>
        <w:ind w:firstLine="640"/>
        <w:jc w:val="both"/>
      </w:pPr>
      <w:r>
        <w:rPr>
          <w:rFonts w:ascii="仿宋_GB2312" w:hAnsi="仿宋_GB2312" w:eastAsia="仿宋_GB2312"/>
          <w:b w:val="0"/>
          <w:sz w:val="32"/>
        </w:rPr>
        <w:t>2.科学技术支出（类）科学技术管理事务（款）其他科学技术管理事务支出（项）：支出决算数为5.00万元，比上年决算减少3.45万元，下降40.83%，主要原因是：科学技术管理事务项目减少。</w:t>
      </w:r>
    </w:p>
    <w:p>
      <w:pPr>
        <w:spacing w:line="580" w:lineRule="exact"/>
        <w:ind w:firstLine="640"/>
        <w:jc w:val="both"/>
      </w:pPr>
      <w:r>
        <w:rPr>
          <w:rFonts w:ascii="仿宋_GB2312" w:hAnsi="仿宋_GB2312" w:eastAsia="仿宋_GB2312"/>
          <w:b w:val="0"/>
          <w:sz w:val="32"/>
        </w:rPr>
        <w:t>3.科学技术支出（类）技术研究与开发（款）科技成果转化与扩散（项）：支出决算数为1.55万元，比上年决算增加0.69万元，增长80.23%，主要原因是：技术研究与开发项目增加。</w:t>
      </w:r>
    </w:p>
    <w:p>
      <w:pPr>
        <w:spacing w:line="580" w:lineRule="exact"/>
        <w:ind w:firstLine="640"/>
        <w:jc w:val="both"/>
      </w:pPr>
      <w:r>
        <w:rPr>
          <w:rFonts w:ascii="仿宋_GB2312" w:hAnsi="仿宋_GB2312" w:eastAsia="仿宋_GB2312"/>
          <w:b w:val="0"/>
          <w:sz w:val="32"/>
        </w:rPr>
        <w:t>4.科学技术支出（类）技术研究与开发（款）其他技术研究与开发支出（项）：支出决算数为0.00万元，比上年决算减少330.00万元，下降100.00%，主要原因是：其他技术研究与开发支出项目总体减少。</w:t>
      </w:r>
    </w:p>
    <w:p>
      <w:pPr>
        <w:spacing w:line="580" w:lineRule="exact"/>
        <w:ind w:firstLine="640"/>
        <w:jc w:val="both"/>
      </w:pPr>
      <w:r>
        <w:rPr>
          <w:rFonts w:ascii="仿宋_GB2312" w:hAnsi="仿宋_GB2312" w:eastAsia="仿宋_GB2312"/>
          <w:b w:val="0"/>
          <w:sz w:val="32"/>
        </w:rPr>
        <w:t>5.科学技术支出（类）科技条件与服务（款）其他科技条件与服务支出（项）：支出决算数为7.31万元，比上年决算减少6.65万元，下降47.64%，主要原因是：其他科技条件与服务支出减少。</w:t>
      </w:r>
    </w:p>
    <w:p>
      <w:pPr>
        <w:spacing w:line="580" w:lineRule="exact"/>
        <w:ind w:firstLine="640"/>
        <w:jc w:val="both"/>
      </w:pPr>
      <w:r>
        <w:rPr>
          <w:rFonts w:ascii="仿宋_GB2312" w:hAnsi="仿宋_GB2312" w:eastAsia="仿宋_GB2312"/>
          <w:b w:val="0"/>
          <w:sz w:val="32"/>
        </w:rPr>
        <w:t>6.科学技术支出（类）科学技术普及（款）机构运行（项）：支出决算数为66.91万元，比上年决算增加9.13万元，增长15.80%，主要原因是：本年技术研究与开发经费较上年增加。</w:t>
      </w:r>
    </w:p>
    <w:p>
      <w:pPr>
        <w:spacing w:line="580" w:lineRule="exact"/>
        <w:ind w:firstLine="640"/>
        <w:jc w:val="both"/>
      </w:pPr>
      <w:r>
        <w:rPr>
          <w:rFonts w:ascii="仿宋_GB2312" w:hAnsi="仿宋_GB2312" w:eastAsia="仿宋_GB2312"/>
          <w:b w:val="0"/>
          <w:sz w:val="32"/>
        </w:rPr>
        <w:t>7.科学技术支出（类）科学技术普及（款）科普活动（项）：支出决算数为6.00万元，比上年决算增加3.00万元，增长100.00%，主要原因是：科普活动比较繁多，项目增加。</w:t>
      </w:r>
    </w:p>
    <w:p>
      <w:pPr>
        <w:spacing w:line="580" w:lineRule="exact"/>
        <w:ind w:firstLine="640"/>
        <w:jc w:val="both"/>
      </w:pPr>
      <w:r>
        <w:rPr>
          <w:rFonts w:ascii="仿宋_GB2312" w:hAnsi="仿宋_GB2312" w:eastAsia="仿宋_GB2312"/>
          <w:b w:val="0"/>
          <w:sz w:val="32"/>
        </w:rPr>
        <w:t>8.社会保障和就业支出（类）行政事业单位养老支出（款）机关事业单位职业年金缴费支出（项）：支出决算数为20.69万元，比上年决算增加20.69万元，增长100.00%，主要原因是：本年新增辞职调出人员，职业年金缴费支出增加。</w:t>
      </w:r>
    </w:p>
    <w:p>
      <w:pPr>
        <w:spacing w:line="580" w:lineRule="exact"/>
        <w:ind w:firstLine="640"/>
        <w:jc w:val="both"/>
      </w:pPr>
      <w:r>
        <w:rPr>
          <w:rFonts w:ascii="仿宋_GB2312" w:hAnsi="仿宋_GB2312" w:eastAsia="仿宋_GB2312"/>
          <w:b w:val="0"/>
          <w:sz w:val="32"/>
        </w:rPr>
        <w:t>9.住房保障支出（类）住房改革支出（款）住房公积金（项）：支出决算数为13.06万元，比上年决算增加13.06万元，增长100.00%，主要原因是：本单位年中新增1人。</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2025年度一般公共预算财政拨款基本支出225.82万元，其中：</w:t>
      </w:r>
      <w:r>
        <w:rPr>
          <w:rFonts w:ascii="仿宋_GB2312" w:hAnsi="仿宋_GB2312" w:eastAsia="仿宋_GB2312"/>
          <w:b/>
          <w:sz w:val="32"/>
        </w:rPr>
        <w:t>人员经费203.31万元，</w:t>
      </w:r>
      <w:r>
        <w:rPr>
          <w:rFonts w:ascii="仿宋_GB2312" w:hAnsi="仿宋_GB2312" w:eastAsia="仿宋_GB2312"/>
          <w:b w:val="0"/>
          <w:sz w:val="32"/>
        </w:rPr>
        <w:t>包括：基本工资、津贴补贴、奖金、绩效工资、机关事业单位基本养老保险缴费、职业年金缴费、职工基本医疗保险缴费、公务员医疗补助缴费、其他社会保障缴费、住房公积金、其他工资福利支出、退休费、其他对个人和家庭的补助。</w:t>
      </w:r>
    </w:p>
    <w:p>
      <w:pPr>
        <w:spacing w:line="580" w:lineRule="exact"/>
        <w:ind w:firstLine="640"/>
        <w:jc w:val="both"/>
      </w:pPr>
      <w:r>
        <w:rPr>
          <w:rFonts w:ascii="仿宋_GB2312" w:hAnsi="仿宋_GB2312" w:eastAsia="仿宋_GB2312"/>
          <w:b/>
          <w:sz w:val="32"/>
        </w:rPr>
        <w:t>公用经费22.51万元，</w:t>
      </w:r>
      <w:r>
        <w:rPr>
          <w:rFonts w:ascii="仿宋_GB2312" w:hAnsi="仿宋_GB2312" w:eastAsia="仿宋_GB2312"/>
          <w:b w:val="0"/>
          <w:sz w:val="32"/>
        </w:rPr>
        <w:t>包括：办公费、差旅费、租赁费、公务接待费、劳务费、工会经费、公务用车运行维护费、其他交通费用。</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2025年度财政拨款“三公”经费支出1.28万元，</w:t>
      </w:r>
      <w:r>
        <w:rPr>
          <w:rFonts w:ascii="仿宋_GB2312" w:hAnsi="仿宋_GB2312" w:eastAsia="仿宋_GB2312"/>
          <w:b w:val="0"/>
          <w:sz w:val="32"/>
        </w:rPr>
        <w:t>比上年减少0.65万元，下降33.51%，主要原因是：严格落实中央八项规定精神，厉行节约，减少“三公”经费支出。</w:t>
      </w:r>
      <w:r>
        <w:rPr>
          <w:rFonts w:ascii="仿宋_GB2312" w:hAnsi="仿宋_GB2312" w:eastAsia="仿宋_GB2312"/>
          <w:b w:val="0"/>
          <w:sz w:val="32"/>
        </w:rPr>
        <w:t>其中：因公出国（境）费用支出0.00万元，占0.00%，比上年增加0.00万元，增长0.00%，主要原因是：2024年与2025年均无因公出国（境）费用支出。</w:t>
      </w:r>
      <w:r>
        <w:rPr>
          <w:rFonts w:ascii="仿宋_GB2312" w:hAnsi="仿宋_GB2312" w:eastAsia="仿宋_GB2312"/>
          <w:b w:val="0"/>
          <w:sz w:val="32"/>
        </w:rPr>
        <w:t>公务用车购置及运行维护费支出1.25万元，占97.66%，比上年减少0.69万元，下降35.57%，主要原因是：严格落实中央八项规定精神，厉行节约，减少“三公”经费支出。</w:t>
      </w:r>
      <w:r>
        <w:rPr>
          <w:rFonts w:ascii="仿宋_GB2312" w:hAnsi="仿宋_GB2312" w:eastAsia="仿宋_GB2312"/>
          <w:b w:val="0"/>
          <w:sz w:val="32"/>
        </w:rPr>
        <w:t>公务接待费支出0.04万元，占3.12%，比上年增加0.04万元，增长100.00%，主要原因是：本年因业务需求，增加公务接待工作，导致公务接待费较上年增加。本年度接待人次较上年增加，导致公务接待费较上年增加。</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因公出国（境）费用0.00万元，开支内容包括本单位无因公出国（境）费用。单位全年安排的因公出国（境）团组0个，因公出国（境）0人次。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1.25万元，其中：公务用车购置费0.00万元，公务用车运行维护费1.25万元。公务用车运行维护费开支内容包括车辆加油费、维修费、保险费、审车费、过路费等。公务用车购置数0辆，公务用车保有量3辆。国有资产占用情况中固定资产车辆3辆，与公务用车保有量差异原因是：本单位公务用车保有量与固定资产车辆一致无差异。</w:t>
      </w:r>
    </w:p>
    <w:p>
      <w:pPr>
        <w:spacing w:line="580" w:lineRule="exact"/>
        <w:ind w:firstLine="640"/>
        <w:jc w:val="both"/>
      </w:pPr>
      <w:r>
        <w:rPr>
          <w:rFonts w:ascii="仿宋_GB2312" w:hAnsi="仿宋_GB2312" w:eastAsia="仿宋_GB2312"/>
          <w:b w:val="0"/>
          <w:sz w:val="32"/>
        </w:rPr>
        <w:t>公务接待费0.04万元，开支内容包括单位全年安排的国内公务接待6批次，12人次。单位全年安排的国内公务接待6批次，12人次。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2.50万元，决算数1.28万元，预决算差异率-48.80%，主要原因是：严格落实中央八项规定精神，厉行节约，减少经费支出。其中：因公出国（境）费用全年预算数0.00万元，决算数0.00万元，预决算差异率0.00%，主要原因是：本单位无因公出国（境）费用。公务用车购置费全年预算数0.00万元，决算数0.00万元，预决算差异率0.00%，主要原因是：本单位无公务用车购置费。公务用车运行维护费全年预算数2.00万元，决算数1.25万元，预决算差异率-37.50%，主要原因是：严格落实中央八项规定精神，厉行节约，减少公务用车使用频次，燃油费减少。公务接待费全年预算数0.50万元，决算数0.04万元，预决算差异率-92.00%，主要原因是：严格落实中央八项规定精神，厉行节约，减少经费支出。</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2025年度吉木萨尔县科学技术局（行政单位和参照公务员法管理事业单位）机关运行经费支出22.51万元，比上年减少240.06万元，下降91.43%，主要原因是：严控经费支出，厉行节约，减少经费支出。严格控制公用经费，合理节约办公用品，减少不必要开支。</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2025年度政府采购支出总额0.72万元，其中：政府采购货物支出0.32万元、政府采购工程支出0.00万元、政府采购服务支出0.40万元。</w:t>
      </w:r>
    </w:p>
    <w:p>
      <w:pPr>
        <w:spacing w:line="580" w:lineRule="exact"/>
        <w:ind w:firstLine="640"/>
        <w:jc w:val="both"/>
      </w:pPr>
      <w:r>
        <w:rPr>
          <w:rFonts w:ascii="仿宋_GB2312" w:hAnsi="仿宋_GB2312" w:eastAsia="仿宋_GB2312"/>
          <w:b w:val="0"/>
          <w:sz w:val="32"/>
        </w:rPr>
        <w:t>授予中小企业合同金额0.42万元，占政府采购支出总额的58.33%，其中：授予小微企业合同金额0.42万元，占政府采购支出总额的58.33%。</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2025年12月31日，房屋0.00平方米，价值0.00万元。车辆3辆，价值44.74万元，其中：副部（省）级及以上领导用车0辆、主要负责人用车0辆、机要通信用车0辆、应急保障用车0辆、执法执勤用车0辆、特种专业技术用车0辆、离退休干部服务用车0辆、其他用车3辆，其他用车主要是：一般公务用车。单价100万元（含）以上设备（不含车辆）0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2025年度预算绩效管理形成整体支出绩效自评表1个，全年预算总额281.10万元，实际执行总额275.44万元；预算绩效评价项目3个，全年预算数14.31万元，全年执行数13.86万元。预算绩效管理取得的成效：一是确保资金的高效使用，切实发挥财政资金的使用作用；二是严格按照工作职责和相关文件依据，确保专款专用；三是严格控制资金的流出方向，确保资金的合规性。发现的问题及原因：（一）高新技术备案企业培育不足。县域企业基础比较薄弱，认定高新技术企业必须通过自主研发、受让、受赠、并购等方式，获得对其主要产品（服务）的知识产权的所有权，经调研摸底，符合备案条件的企业较少，培育难度大。（二）企业自主创新意识不强，研发投入比重较低。企业主要负责人对研发投入不重视，企业投入研发的积极性不高，通过调研发现只有部分企业能完成全社会研发费用归集，全社会R&amp;D经费支出占GDP的比重较低。（三）激励政策不到位，科技人才短缺。近几年受经济下行影响，企业整体效益下滑，地方科技型企业的人员薪酬待遇普遍降低，造成人才流失比较严重；还有部分企业未能把对转化科技成果做出重要贡献的人员的奖励和报酬落到实处，导致现有人才留不住，企业急需的专业对口和研发能力强的高科技人才引不进来。下一步改进措施：深化科技体制改革，健全科技创新平台建设支持机制，支持中国农科院西部农业研究中心吉木萨尔分中心开展小麦、玉米作物单产和种业科技攻关。强化企业自主创新激励机制，发挥好科技三项经费的导向作用，鼓励企业加大研发投入，引进和转化一批高新技术成果，培育和壮大一批高新技术企业和科技型中小企业。积极争取国家、区、州科技计划项目支持。健全财政科技投入稳定增长机制，落实财政科技资金绩效评价制度。深化科技创新和产业创新融合，完善科技型企业梯次培育机制。具体附整体支出绩效自评表、项目支出绩效自评表。</w:t>
      </w:r>
    </w:p>
    <w:p>
      <w:r>
        <w:br w:type="page"/>
      </w:r>
    </w:p>
    <w:tbl>
      <w:tblPr>
        <w:tblW w:type="auto" w:w="0"/>
        <w:tblLook w:firstColumn="1" w:firstRow="1" w:lastColumn="0" w:lastRow="0" w:noHBand="0" w:noVBand="1" w:val="04A0"/>
      </w:tblPr>
      <w:tblGrid>
        <w:gridCol w:w="983"/>
        <w:gridCol w:w="983"/>
        <w:gridCol w:w="983"/>
        <w:gridCol w:w="983"/>
        <w:gridCol w:w="983"/>
        <w:gridCol w:w="983"/>
        <w:gridCol w:w="983"/>
        <w:gridCol w:w="983"/>
        <w:gridCol w:w="983"/>
      </w:tblGrid>
      <w:tr>
        <w:tc>
          <w:tcPr>
            <w:tcW w:type="dxa" w:w="983"/>
            <w:gridSpan w:val="9"/>
            <w:vAlign w:val="center"/>
          </w:tcPr>
          <w:p>
            <w:pPr>
              <w:jc w:val="center"/>
            </w:pPr>
            <w:r>
              <w:rPr>
                <w:rFonts w:ascii="宋体" w:hAnsi="宋体" w:eastAsia="宋体"/>
                <w:sz w:val="24"/>
              </w:rPr>
              <w:t>单位整体支出绩效自评表</w:t>
            </w:r>
          </w:p>
        </w:tc>
      </w:tr>
      <w:tr>
        <w:tc>
          <w:tcPr>
            <w:tcW w:type="dxa" w:w="983"/>
            <w:gridSpan w:val="9"/>
            <w:vAlign w:val="center"/>
          </w:tcPr>
          <w:p>
            <w:pPr>
              <w:jc w:val="center"/>
            </w:pPr>
            <w:r>
              <w:rPr>
                <w:rFonts w:ascii="宋体" w:hAnsi="宋体" w:eastAsia="宋体"/>
                <w:sz w:val="24"/>
              </w:rPr>
              <w:t>（2025年度）</w:t>
            </w:r>
          </w:p>
        </w:tc>
      </w:tr>
      <w:tr>
        <w:trPr>
          <w:cantSplit/>
        </w:trPr>
        <w:tc>
          <w:tcPr>
            <w:tcBorders>
              <w:top w:sz="10" w:val="single"/>
              <w:bottom w:sz="10" w:val="single"/>
              <w:start w:sz="10" w:val="single"/>
              <w:end w:sz="10" w:val="single"/>
              <w:insideV w:sz="10" w:val="single"/>
            </w:tcBorders>
            <w:vAlign w:val="center"/>
          </w:tcPr>
          <w:p>
            <w:pPr>
              <w:jc w:val="center"/>
            </w:pPr>
            <w:r>
              <w:rPr>
                <w:rFonts w:ascii="宋体" w:hAnsi="宋体" w:eastAsia="宋体"/>
                <w:sz w:val="16"/>
              </w:rPr>
              <w:t>单位名称</w:t>
            </w:r>
          </w:p>
        </w:tc>
        <w:tc>
          <w:tcPr>
            <w:gridSpan w:val="8"/>
            <w:tcBorders>
              <w:top w:sz="10" w:val="single"/>
              <w:bottom w:sz="10" w:val="single"/>
              <w:start w:sz="10" w:val="single"/>
              <w:end w:sz="10" w:val="single"/>
              <w:insideV w:sz="10" w:val="single"/>
            </w:tcBorders>
            <w:vAlign w:val="center"/>
          </w:tcPr>
          <w:p>
            <w:pPr>
              <w:jc w:val="center"/>
            </w:pPr>
            <w:r>
              <w:rPr>
                <w:rFonts w:ascii="宋体" w:hAnsi="宋体" w:eastAsia="宋体"/>
                <w:sz w:val="16"/>
              </w:rPr>
              <w:t>吉木萨尔县科学技术局</w:t>
            </w:r>
          </w:p>
        </w:tc>
      </w:tr>
      <w:tr>
        <w:trPr>
          <w:cantSplit/>
        </w:trPr>
        <w:tc>
          <w:tcPr>
            <w:tcW w:type="dxa" w:w="983"/>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部门资金（万元）</w:t>
            </w: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资金来源</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分值权重</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上级资金</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15.31</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18.27</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18.27</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本级资金</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192.59</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262.83</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257.17</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其他资金</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20.00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合计</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455.80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562.20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550.88</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合计</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455.80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562.20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550.88</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rPr>
          <w:cantSplit/>
        </w:trPr>
        <w:tc>
          <w:tcPr>
            <w:tcW w:type="dxa" w:w="983"/>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983"/>
            <w:gridSpan w:val="3"/>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983"/>
            <w:gridSpan w:val="5"/>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3"/>
            <w:tcBorders>
              <w:start w:sz="10" w:val="single"/>
              <w:top w:sz="10" w:val="single"/>
              <w:end w:sz="10" w:val="single"/>
              <w:bottom w:sz="10" w:val="single"/>
              <w:insideV w:sz="10" w:val="single"/>
            </w:tcBorders>
            <w:vAlign w:val="center"/>
          </w:tcPr>
          <w:p>
            <w:pPr>
              <w:jc w:val="both"/>
            </w:pPr>
            <w:r>
              <w:rPr>
                <w:rFonts w:ascii="宋体" w:hAnsi="宋体" w:eastAsia="宋体"/>
                <w:sz w:val="16"/>
              </w:rPr>
              <w:t>将统筹推进科技创新体系建设，引导全社会科技研发投入同比例增长30%，培育新备案高新技术企业和科技型中小企业各1家，提高企业的自主创新能力和市场竞争力，推动产学研深度融合，聚焦主导产业和战略性新兴产业的关键核心技术，组织申报自治区项目5项，加快科技成果转移转化，打造科普阵地1家，培育、备案科技小院2家，开展科普宣传不少于10场次，全面提升科技创新能力和水平，为经济建设提供强有力的支撑。</w:t>
            </w:r>
          </w:p>
        </w:tc>
        <w:tc>
          <w:tcPr>
            <w:tcW w:type="dxa" w:w="983"/>
            <w:gridSpan w:val="5"/>
            <w:tcBorders>
              <w:start w:sz="10" w:val="single"/>
              <w:top w:sz="10" w:val="single"/>
              <w:end w:sz="10" w:val="single"/>
              <w:bottom w:sz="10" w:val="single"/>
              <w:insideV w:sz="10" w:val="single"/>
            </w:tcBorders>
            <w:vAlign w:val="center"/>
          </w:tcPr>
          <w:p>
            <w:pPr>
              <w:jc w:val="both"/>
            </w:pPr>
            <w:r>
              <w:rPr>
                <w:rFonts w:ascii="宋体" w:hAnsi="宋体" w:eastAsia="宋体"/>
                <w:sz w:val="16"/>
              </w:rPr>
              <w:t>截至2025年12月31日，本单位全年预算数281.1万元，实际支出数275.44万元，资金执行率97.99%，实际已完成申报自治区项目17项，打造科普阵地2个，备案科技型中小企业10家，新备案高新技术企业6家，全社会研发投入同比例增长50.9%，开展科普宣传活动48次，培育、储备 科技小院2家，为经济建设提供强有力的支撑。</w:t>
            </w:r>
          </w:p>
        </w:tc>
      </w:tr>
      <w:tr>
        <w:trPr>
          <w:cantSplit/>
        </w:trPr>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预期指标值</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分值权重</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实际完成指标值</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rPr>
          <w:cantSplit/>
        </w:trPr>
        <w:tc>
          <w:tcPr>
            <w:tcW w:type="dxa" w:w="983"/>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履职效能</w:t>
            </w:r>
          </w:p>
        </w:tc>
        <w:tc>
          <w:tcPr>
            <w:tcW w:type="dxa" w:w="983"/>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申报自治区项目</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&gt;=5项</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吉木萨尔县科技局2024年工作总结暨2025年工作计划</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=17项</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r>
      <w:tr>
        <w:trPr>
          <w:cantSplit/>
        </w:trPr>
        <w:tc>
          <w:tcPr>
            <w:tcW w:type="dxa" w:w="983"/>
            <w:vMerge/>
            <w:tcBorders>
              <w:start w:sz="10" w:val="single"/>
              <w:top w:sz="10" w:val="single"/>
              <w:end w:sz="10" w:val="single"/>
              <w:bottom w:sz="10" w:val="single"/>
              <w:insideV w:sz="10" w:val="single"/>
            </w:tcBorders>
          </w:tcPr>
          <w:p/>
        </w:tc>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打造科普阵地</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&gt;=1个</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吉木萨尔县科技局2024年工作总结暨2025年工作计划</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=2个</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r>
      <w:tr>
        <w:trPr>
          <w:cantSplit/>
        </w:trPr>
        <w:tc>
          <w:tcPr>
            <w:tcW w:type="dxa" w:w="983"/>
            <w:vMerge/>
            <w:tcBorders>
              <w:start w:sz="10" w:val="single"/>
              <w:top w:sz="10" w:val="single"/>
              <w:end w:sz="10" w:val="single"/>
              <w:bottom w:sz="10" w:val="single"/>
              <w:insideV w:sz="10" w:val="single"/>
            </w:tcBorders>
          </w:tcPr>
          <w:p/>
        </w:tc>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新备案科技型中小企业</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&gt;=5家</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吉木萨尔县科技局2024年工作总结暨2025年工作计划</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12</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=10家</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12</w:t>
            </w:r>
          </w:p>
        </w:tc>
      </w:tr>
      <w:tr>
        <w:trPr>
          <w:cantSplit/>
        </w:trPr>
        <w:tc>
          <w:tcPr>
            <w:tcW w:type="dxa" w:w="983"/>
            <w:vMerge/>
            <w:tcBorders>
              <w:start w:sz="10" w:val="single"/>
              <w:top w:sz="10" w:val="single"/>
              <w:end w:sz="10" w:val="single"/>
              <w:bottom w:sz="10" w:val="single"/>
              <w:insideV w:sz="10" w:val="single"/>
            </w:tcBorders>
          </w:tcPr>
          <w:p/>
        </w:tc>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新备案高新技术企业</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&gt;=1家</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吉木萨尔县科技局2024年工作总结暨2025年工作计划</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=6家</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r>
      <w:tr>
        <w:trPr>
          <w:cantSplit/>
        </w:trPr>
        <w:tc>
          <w:tcPr>
            <w:tcW w:type="dxa" w:w="983"/>
            <w:vMerge/>
            <w:tcBorders>
              <w:start w:sz="10" w:val="single"/>
              <w:top w:sz="10" w:val="single"/>
              <w:end w:sz="10" w:val="single"/>
              <w:bottom w:sz="10" w:val="single"/>
              <w:insideV w:sz="10" w:val="single"/>
            </w:tcBorders>
          </w:tcPr>
          <w:p/>
        </w:tc>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全社会研发投入同比例增长</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&gt;=30%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吉木萨尔县科技局2024年工作总结暨2025年工作计划</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11</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=50.9%</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11</w:t>
            </w:r>
          </w:p>
        </w:tc>
      </w:tr>
      <w:tr>
        <w:trPr>
          <w:cantSplit/>
        </w:trPr>
        <w:tc>
          <w:tcPr>
            <w:tcW w:type="dxa" w:w="983"/>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社会效益</w:t>
            </w:r>
          </w:p>
        </w:tc>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开展科普宣传活动</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&gt;=10次</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吉木萨尔县科技局2024年工作总结暨2025年工作计划</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14</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=48次</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14</w:t>
            </w:r>
          </w:p>
        </w:tc>
      </w:tr>
      <w:tr>
        <w:trPr>
          <w:cantSplit/>
        </w:trPr>
        <w:tc>
          <w:tcPr>
            <w:tcW w:type="dxa" w:w="983"/>
            <w:vMerge/>
            <w:tcBorders>
              <w:start w:sz="10" w:val="single"/>
              <w:top w:sz="10" w:val="single"/>
              <w:end w:sz="10" w:val="single"/>
              <w:bottom w:sz="10" w:val="single"/>
              <w:insideV w:sz="10" w:val="single"/>
            </w:tcBorders>
          </w:tcP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质量指标</w:t>
            </w: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培育、储备科技小院</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&gt;=2家</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吉木萨尔县科技局2024年工作总结暨2025年工作计划</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13</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=2家</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13</w:t>
            </w:r>
          </w:p>
        </w:tc>
      </w:tr>
      <w:tr>
        <w:trPr>
          <w:cantSplit/>
        </w:trPr>
        <w:tc>
          <w:tcPr>
            <w:tcW w:type="dxa" w:w="983"/>
            <w:gridSpan w:val="6"/>
            <w:tcBorders>
              <w:start w:sz="10" w:val="single"/>
              <w:top w:sz="10" w:val="single"/>
              <w:end w:sz="10" w:val="single"/>
              <w:bottom w:sz="10" w:val="single"/>
              <w:insideV w:sz="10" w:val="single"/>
            </w:tcBorders>
            <w:vAlign w:val="center"/>
          </w:tcPr>
          <w:p>
            <w:pPr>
              <w:jc w:val="center"/>
            </w:pPr>
            <w:r>
              <w:rPr>
                <w:rFonts w:ascii="宋体" w:hAnsi="宋体" w:eastAsia="宋体"/>
                <w:sz w:val="16"/>
              </w:rPr>
              <w:t>总分</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983"/>
            <w:tcBorders>
              <w:start w:sz="10" w:val="single"/>
              <w:top w:sz="10" w:val="single"/>
              <w:end w:sz="10" w:val="single"/>
              <w:bottom w:sz="10" w:val="single"/>
              <w:insideV w:sz="10" w:val="single"/>
            </w:tcBorders>
          </w:tcP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90</w:t>
            </w:r>
          </w:p>
        </w:tc>
      </w:tr>
    </w:tbl>
    <w:p>
      <w:r>
        <w:br w:type="page"/>
      </w:r>
    </w:p>
    <w:p>
      <w:pPr>
        <w:sectPr>
          <w:footerReference r:id="rId3" w:type="default"/>
          <w:pgSz w:w="11906" w:h="16838"/>
          <w:pgMar w:top="2098" w:right="1531" w:bottom="1985" w:left="1531" w:header="851" w:footer="992" w:gutter="0"/>
          <w:cols w:space="720" w:num="1"/>
          <w:docGrid w:type="lines" w:linePitch="312" w:charSpace="0"/>
        </w:sectPr>
      </w:pP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2024年自治区科技计划专项资金[第三批]的通知</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吉木萨尔县科学技术局</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吉木萨尔县科学技术局</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1.55</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77.50%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4.38</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1.55</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本项目的实施内容为保障科技特派员工作开展，本项目经费为2万元，通过项目实施，2025年我县科技特派员人数不能少于132人，开展服务不能少于150次，开展科技特派员培训不能少于2场，通过项目实施，可提升农村基层科技的能力和活力。争取使受益科技特派员满意度不低于75%。</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止2025年12月31日，项目实际支出1.55万元，预算执行力77.5%，本项目保障了科技特派员工作开展，我县科技特派员人数为133人，开展了服务150次，开展科技特派员培训1场，受益科技特派员满意度为80%，通过项目实施，提升了农村基层科技的能力和活力。</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科技特派员人数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&gt;=132人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=133人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132人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全年开展科技特派员培训次数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&gt;=2场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此项指标未完成，存在偏差，偏差率为50%，偏差原因为：2025年只开展了一次科技特派员培训活动；下一年度改进措施：积极推进科技服务，多组织科技培训。</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科技培训覆盖率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项目完成时间</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2025年12月前</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=2025年12月前</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每场培训成本</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&lt;=1万元/场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=0.75万元/场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此项指标未完成，存在偏差，偏差率为25%，偏差原因为：2025年只开展了一次科技特派员培训活动，培训花费1.55万元；下一年度改进措施：积极推进科技服务，多组织科技培训。</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提升农村基层科技能力</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提升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部分达成年度指标并具有一定效果</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此项指标未完成，存在偏差，偏差率为25%，偏差原因为：并未全面提升农村基层科技能力，还存在提升的空间；下一年度改进措施：积极推进科技服务，多组织科技培训。</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开展科技服务次数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&gt;=150次</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=150次</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受益科技特派员满意度（%）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&gt;=75%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指标未完成，存在偏差，偏差率为-6%，偏差原因为：我单位在前期设定满意度指标时，为确保项目产出的安全性和底线思维，设定了≥75%的保守目标值，故与实际完成值产生偏差；下一年度改进措施：总结本次项目的成功经验，在编制下一年度绩效目标时，结合实际执行能力，将满意度目标值适当上调，以此倒逼服务质量持续提升。</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67.88分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2025年中央“三区”科技人才支持计划预算的通知</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吉木萨尔县科学技术局</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吉木萨尔县科学技术局</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7.31</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7.31</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7.31</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7.31</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7.31</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7.31</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本项目主要实施内容为：选派三名科技人才深入阿合奇县和墨玉县进行科技服务，主要是开展新品种引进推广、种植、养殖技术指导培训等服务，待项目实施完成，项目总投资7.3098万元，项目计划于2024年12月31日完成，通过本项目的实施，可助力“三区”县实现产业升级、经济发展和社会进步，巩固脱贫攻坚后的乡村振兴工作，待项目实施完成，争取使受益人群满意度不低于75%。</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至2025年12月31日，本项目支出资金7.31万元，资金执行率100%，本项目选派3名三区人才赴墨玉县、阿合奇县开展技术服务，发放补助7.31万元，共服务109天，受益农户70余人；通过本项目的实施，助力了“三区”县实现产业升级、经济发展和社会进步，巩固了脱贫攻坚后的乡村振兴工作成果。</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选派科技人才</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13</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13</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服务县市数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选派科技人员补助覆盖率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选派人员服务时长</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&gt;=100天</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=109天</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109%</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该项目目标已完成，目标值100天，实际服务109天，造成偏差</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“三区”科技人才经费人均成本</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&lt;=2.44万元/人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=2.44万元/人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项目受益农户人数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&gt;=50人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=70人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140%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该项目目标已完成，目标值50人，实际服务70人，造成偏差 项目受益农户人数</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巩固脱贫攻坚后的乡村振兴工作</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持续巩固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持续巩固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服务群众满意度（%）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&gt;=75%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95.10分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2025年中央“基层科普行动计划”资金预算的通知</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吉木萨尔县科学技术局</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吉木萨尔县科学技术局</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本项目主要实施内容为：依托新时代文明实践中心等现有基础设施资源，计划打造乡镇（村、社区）科普体验阵地2家，开展科普宣传活动2次，项目总投资为5万元，项目计划于2025年12月31日完成，通过本项目的实施，可有效提升吉木萨尔县基层科普能力，待项目实施完成，争取使受益人群满意度不低于75%。</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截至2025年12月31日，本项目支出资金5万元，资金执行率100%，本项目实际完成打造科普阵地2家，开展科普宣传活动2场次，受益人群满意度达到76%；通过本项目的实施，提升了吉木萨尔县基层科普能力。</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打造科普阵地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14</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&gt;=2个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14</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开展科普宣传活动</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&gt;=2场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科普阵地打造完成率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科普宣传活动按时完成率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打造阵地经费</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&lt;=2.5万元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=2.5万元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该项目未用2.5万元打造科普阵地，用5万元打造科普阵地</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培训费支出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&lt;=2.5万元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=2.5万元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未用该资金进行科普培训，5万元全部用于科普阵地打造</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提升基层科普能力</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提升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促进科学知识的普及与传播</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有效促进</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服务群众满意度（%）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&gt;=75%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此指标已完成，偏差率1%，主要是因为下发问卷后，满意度达到76%。</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p>
      <w:pPr>
        <w:sectPr>
          <w:type w:val="continuous"/>
          <w:pgSz w:w="11906" w:h="16838"/>
          <w:pgMar w:top="1440" w:right="1800" w:bottom="1440" w:left="1800" w:header="851" w:footer="992" w:gutter="0"/>
          <w:cols w:space="720" w:num="1"/>
          <w:docGrid w:type="lines" w:linePitch="312" w:charSpace="0"/>
        </w:sectPr>
      </w:pP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本年度本单位整体绩效自评表不予公开。</w:t>
      </w:r>
    </w:p>
    <w:p>
      <w:r>
        <w:br w:type="page"/>
      </w:r>
    </w:p>
    <w:p>
      <w:pPr>
        <w:spacing w:lineRule="exact" w:line="600"/>
        <w:jc w:val="center"/>
        <w:outlineLvl w:val="0"/>
      </w:pPr>
      <w:r>
        <w:rPr>
          <w:rFonts w:ascii="黑体" w:hAnsi="黑体" w:eastAsia="黑体"/>
          <w:sz w:val="32"/>
        </w:rPr>
        <w:t>第三部分 专业名词解释</w:t>
      </w:r>
    </w:p>
    <w:p>
      <w:pPr>
        <w:spacing w:lineRule="exact" w:line="600"/>
        <w:ind w:firstLine="643" w:firstLineChars="200"/>
        <w:autoSpaceDE w:val="0"/>
        <w:autoSpaceDN w:val="0"/>
      </w:pPr>
      <w:r>
        <w:rPr>
          <w:rFonts w:ascii="仿宋_GB2312" w:hAnsi="仿宋_GB2312" w:eastAsia="仿宋_GB2312"/>
          <w:b/>
          <w:sz w:val="32"/>
        </w:rPr>
        <w:t>一、财政拨款收入：</w:t>
      </w:r>
      <w:r>
        <w:rPr>
          <w:rFonts w:ascii="仿宋_GB2312" w:hAnsi="仿宋_GB2312" w:eastAsia="仿宋_GB2312"/>
          <w:b w:val="0"/>
          <w:sz w:val="32"/>
        </w:rPr>
        <w:t>指单位本年度从同级财政部门取得的财政拨款，包括一般公共预算财政拨款、政府性基金预算财政拨款和国有资本经营预算财政拨款。</w:t>
      </w:r>
    </w:p>
    <w:p>
      <w:pPr>
        <w:spacing w:lineRule="exact" w:line="600"/>
        <w:ind w:firstLine="643" w:firstLineChars="200"/>
        <w:autoSpaceDE w:val="0"/>
        <w:autoSpaceDN w:val="0"/>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Rule="exact" w:line="600"/>
        <w:ind w:firstLine="643" w:firstLineChars="200"/>
        <w:autoSpaceDE w:val="0"/>
        <w:autoSpaceDN w:val="0"/>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指事业单位开展专业业务活动及其辅助活动取得的收入。</w:t>
      </w:r>
    </w:p>
    <w:p>
      <w:pPr>
        <w:spacing w:lineRule="exact" w:line="600"/>
        <w:ind w:firstLine="643" w:firstLineChars="200"/>
        <w:autoSpaceDE w:val="0"/>
        <w:autoSpaceDN w:val="0"/>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Rule="exact" w:line="600"/>
        <w:ind w:firstLine="643" w:firstLineChars="200"/>
        <w:autoSpaceDE w:val="0"/>
        <w:autoSpaceDN w:val="0"/>
      </w:pPr>
      <w:r>
        <w:rPr>
          <w:rFonts w:ascii="仿宋_GB2312" w:hAnsi="仿宋_GB2312" w:eastAsia="仿宋_GB2312"/>
          <w:b/>
          <w:sz w:val="32"/>
        </w:rPr>
        <w:t>五、附属单位上缴收入：</w:t>
      </w:r>
      <w:r>
        <w:rPr>
          <w:rFonts w:ascii="仿宋_GB2312" w:hAnsi="仿宋_GB2312" w:eastAsia="仿宋_GB2312"/>
          <w:b w:val="0"/>
          <w:sz w:val="32"/>
        </w:rPr>
        <w:t>指事业单位附属独立核算单位按照有关规定上缴的收入。</w:t>
      </w:r>
    </w:p>
    <w:p>
      <w:pPr>
        <w:spacing w:lineRule="exact" w:line="600"/>
        <w:ind w:firstLine="643" w:firstLineChars="200"/>
        <w:autoSpaceDE w:val="0"/>
        <w:autoSpaceDN w:val="0"/>
      </w:pPr>
      <w:r>
        <w:rPr>
          <w:rFonts w:ascii="仿宋_GB2312" w:hAnsi="仿宋_GB2312" w:eastAsia="仿宋_GB2312"/>
          <w:b/>
          <w:sz w:val="32"/>
        </w:rPr>
        <w:t>六、其他收入：</w:t>
      </w:r>
      <w:r>
        <w:rPr>
          <w:rFonts w:ascii="仿宋_GB2312" w:hAnsi="仿宋_GB2312" w:eastAsia="仿宋_GB2312"/>
          <w:b w:val="0"/>
          <w:sz w:val="32"/>
        </w:rPr>
        <w:t>指单位取得的除上述“财政拨款收入”“上级补助收入”“事业收入”“经营收入”“附属单位上缴收入”以外的各项收入。</w:t>
      </w:r>
    </w:p>
    <w:p>
      <w:pPr>
        <w:spacing w:lineRule="exact" w:line="600"/>
        <w:ind w:firstLine="643" w:firstLineChars="200"/>
        <w:autoSpaceDE w:val="0"/>
        <w:autoSpaceDN w:val="0"/>
      </w:pPr>
      <w:r>
        <w:rPr>
          <w:rFonts w:ascii="仿宋_GB2312" w:hAnsi="仿宋_GB2312" w:eastAsia="仿宋_GB2312"/>
          <w:b/>
          <w:sz w:val="32"/>
        </w:rPr>
        <w:t>七、年初结转和结余：</w:t>
      </w:r>
      <w:r>
        <w:rPr>
          <w:rFonts w:ascii="仿宋_GB2312" w:hAnsi="仿宋_GB2312" w:eastAsia="仿宋_GB2312"/>
          <w:b w:val="0"/>
          <w:sz w:val="32"/>
        </w:rPr>
        <w:t>指单位上年结转本年使用的基本支出结转、项目支出结转和结余、经营结余。</w:t>
      </w:r>
    </w:p>
    <w:p>
      <w:pPr>
        <w:spacing w:lineRule="exact" w:line="600"/>
        <w:ind w:firstLine="643" w:firstLineChars="200"/>
        <w:autoSpaceDE w:val="0"/>
        <w:autoSpaceDN w:val="0"/>
      </w:pPr>
      <w:r>
        <w:rPr>
          <w:rFonts w:ascii="仿宋_GB2312" w:hAnsi="仿宋_GB2312" w:eastAsia="仿宋_GB2312"/>
          <w:b/>
          <w:sz w:val="32"/>
        </w:rPr>
        <w:t>八、使用非财政拨款结余（含专用结余）：</w:t>
      </w:r>
      <w:r>
        <w:rPr>
          <w:rFonts w:ascii="仿宋_GB2312" w:hAnsi="仿宋_GB2312" w:eastAsia="仿宋_GB2312"/>
          <w:b w:val="0"/>
          <w:sz w:val="32"/>
        </w:rPr>
        <w:t>指单位按照预算管理要求使用非财政拨款结余弥补收支差额的金额，以及使用专用结余安排支出的金额。</w:t>
      </w:r>
    </w:p>
    <w:p>
      <w:pPr>
        <w:spacing w:lineRule="exact" w:line="600"/>
        <w:ind w:firstLine="643" w:firstLineChars="200"/>
        <w:autoSpaceDE w:val="0"/>
        <w:autoSpaceDN w:val="0"/>
      </w:pPr>
      <w:r>
        <w:rPr>
          <w:rFonts w:ascii="仿宋_GB2312" w:hAnsi="仿宋_GB2312" w:eastAsia="仿宋_GB2312"/>
          <w:b/>
          <w:sz w:val="32"/>
        </w:rPr>
        <w:t>九、结余分配：</w:t>
      </w:r>
      <w:r>
        <w:rPr>
          <w:rFonts w:ascii="仿宋_GB2312" w:hAnsi="仿宋_GB2312" w:eastAsia="仿宋_GB2312"/>
          <w:b w:val="0"/>
          <w:sz w:val="32"/>
        </w:rPr>
        <w:t>指单位缴纳企业所得税以及从非财政拨款结余或经营结余中提取各类结余的情况。</w:t>
      </w:r>
    </w:p>
    <w:p>
      <w:pPr>
        <w:spacing w:lineRule="exact" w:line="600"/>
        <w:ind w:firstLine="643" w:firstLineChars="200"/>
        <w:autoSpaceDE w:val="0"/>
        <w:autoSpaceDN w:val="0"/>
      </w:pPr>
      <w:r>
        <w:rPr>
          <w:rFonts w:ascii="仿宋_GB2312" w:hAnsi="仿宋_GB2312" w:eastAsia="仿宋_GB2312"/>
          <w:b/>
          <w:sz w:val="32"/>
        </w:rPr>
        <w:t>十、年末结转和结余：</w:t>
      </w:r>
      <w:r>
        <w:rPr>
          <w:rFonts w:ascii="仿宋_GB2312" w:hAnsi="仿宋_GB2312" w:eastAsia="仿宋_GB2312"/>
          <w:b w:val="0"/>
          <w:sz w:val="32"/>
        </w:rPr>
        <w:t>指单位结转下年的基本支出结转、项目支出结转和结余、经营结余。</w:t>
      </w:r>
    </w:p>
    <w:p>
      <w:pPr>
        <w:spacing w:lineRule="exact" w:line="600"/>
        <w:ind w:firstLine="643" w:firstLineChars="200"/>
        <w:autoSpaceDE w:val="0"/>
        <w:autoSpaceDN w:val="0"/>
      </w:pPr>
      <w:r>
        <w:rPr>
          <w:rFonts w:ascii="仿宋_GB2312" w:hAnsi="仿宋_GB2312" w:eastAsia="仿宋_GB2312"/>
          <w:b/>
          <w:sz w:val="32"/>
        </w:rPr>
        <w:t>十一、基本支出：</w:t>
      </w:r>
      <w:r>
        <w:rPr>
          <w:rFonts w:ascii="仿宋_GB2312" w:hAnsi="仿宋_GB2312" w:eastAsia="仿宋_GB2312"/>
          <w:b w:val="0"/>
          <w:sz w:val="32"/>
        </w:rPr>
        <w:t>指单位为保障机构正常运转、完成日常工作任务而发生的各项支出。</w:t>
      </w:r>
    </w:p>
    <w:p>
      <w:pPr>
        <w:spacing w:lineRule="exact" w:line="600"/>
        <w:ind w:firstLine="643" w:firstLineChars="200"/>
        <w:autoSpaceDE w:val="0"/>
        <w:autoSpaceDN w:val="0"/>
      </w:pPr>
      <w:r>
        <w:rPr>
          <w:rFonts w:ascii="仿宋_GB2312" w:hAnsi="仿宋_GB2312" w:eastAsia="仿宋_GB2312"/>
          <w:b/>
          <w:sz w:val="32"/>
        </w:rPr>
        <w:t>十二、项目支出：</w:t>
      </w:r>
      <w:r>
        <w:rPr>
          <w:rFonts w:ascii="仿宋_GB2312" w:hAnsi="仿宋_GB2312" w:eastAsia="仿宋_GB2312"/>
          <w:b w:val="0"/>
          <w:sz w:val="32"/>
        </w:rPr>
        <w:t>指单位为完成特定的行政工作任务或事业发展目标，在基本支出之外发生的各项支出。</w:t>
      </w:r>
    </w:p>
    <w:p>
      <w:pPr>
        <w:spacing w:lineRule="exact" w:line="600"/>
        <w:ind w:firstLine="643" w:firstLineChars="200"/>
        <w:autoSpaceDE w:val="0"/>
        <w:autoSpaceDN w:val="0"/>
      </w:pPr>
      <w:r>
        <w:rPr>
          <w:rFonts w:ascii="仿宋_GB2312" w:hAnsi="仿宋_GB2312" w:eastAsia="仿宋_GB2312"/>
          <w:b/>
          <w:sz w:val="32"/>
        </w:rPr>
        <w:t>十三、上缴上级支出：</w:t>
      </w:r>
      <w:r>
        <w:rPr>
          <w:rFonts w:ascii="仿宋_GB2312" w:hAnsi="仿宋_GB2312" w:eastAsia="仿宋_GB2312"/>
          <w:b w:val="0"/>
          <w:sz w:val="32"/>
        </w:rPr>
        <w:t>指事业单位按照财政部门和主管部门的规定上缴上级单位的支出。</w:t>
      </w:r>
    </w:p>
    <w:p>
      <w:pPr>
        <w:spacing w:lineRule="exact" w:line="600"/>
        <w:ind w:firstLine="643" w:firstLineChars="200"/>
        <w:autoSpaceDE w:val="0"/>
        <w:autoSpaceDN w:val="0"/>
      </w:pPr>
      <w:r>
        <w:rPr>
          <w:rFonts w:ascii="仿宋_GB2312" w:hAnsi="仿宋_GB2312" w:eastAsia="仿宋_GB2312"/>
          <w:b/>
          <w:sz w:val="32"/>
        </w:rPr>
        <w:t>十四、经营支出：</w:t>
      </w:r>
      <w:r>
        <w:rPr>
          <w:rFonts w:ascii="仿宋_GB2312" w:hAnsi="仿宋_GB2312" w:eastAsia="仿宋_GB2312"/>
          <w:b w:val="0"/>
          <w:sz w:val="32"/>
        </w:rPr>
        <w:t>指事业单位在专业活动及辅助活动之外开展非独立核算经营活动发生的支出。</w:t>
      </w:r>
    </w:p>
    <w:p>
      <w:pPr>
        <w:spacing w:lineRule="exact" w:line="600"/>
        <w:ind w:firstLine="643" w:firstLineChars="200"/>
        <w:autoSpaceDE w:val="0"/>
        <w:autoSpaceDN w:val="0"/>
      </w:pPr>
      <w:r>
        <w:rPr>
          <w:rFonts w:ascii="仿宋_GB2312" w:hAnsi="仿宋_GB2312" w:eastAsia="仿宋_GB2312"/>
          <w:b/>
          <w:sz w:val="32"/>
        </w:rPr>
        <w:t>十五、对附属单位补助支出：</w:t>
      </w:r>
      <w:r>
        <w:rPr>
          <w:rFonts w:ascii="仿宋_GB2312" w:hAnsi="仿宋_GB2312" w:eastAsia="仿宋_GB2312"/>
          <w:b w:val="0"/>
          <w:sz w:val="32"/>
        </w:rPr>
        <w:t>指事业单位用财政补助收入之外的收入对附属单位补助发生的支出。</w:t>
      </w:r>
    </w:p>
    <w:p>
      <w:pPr>
        <w:spacing w:lineRule="exact" w:line="600"/>
        <w:ind w:firstLine="643" w:firstLineChars="200"/>
        <w:autoSpaceDE w:val="0"/>
        <w:autoSpaceDN w:val="0"/>
      </w:pPr>
      <w:r>
        <w:rPr>
          <w:rFonts w:ascii="仿宋_GB2312" w:hAnsi="仿宋_GB2312" w:eastAsia="仿宋_GB2312"/>
          <w:b/>
          <w:sz w:val="32"/>
        </w:rPr>
        <w:t>十六、“三公”经费：</w:t>
      </w:r>
      <w:r>
        <w:rPr>
          <w:rFonts w:ascii="仿宋_GB2312" w:hAnsi="仿宋_GB2312" w:eastAsia="仿宋_GB2312"/>
          <w:b w:val="0"/>
          <w:sz w:val="32"/>
        </w:rPr>
        <w:t>指单位使用财政拨款安排的因公出国（境）费用、公务用车购置及运行维护费和公务接待费。其中，因公出国（境）费用反映单位公务出国（境）的国际旅费、国外城市间交通费、住宿费、伙食费、培训费、公杂费等支出；公务用车购置费反映公务用车购置支出（含车辆购置税、牌照费）；公务用车运行维护费反映单位按规定保留的公务用车燃料费、新能源汽车充电费、维修费、过路过桥费、保险费、安全奖励费用等支出；公务接待费反映单位按规定开支的各类公务接待（含外宾接待）费用。</w:t>
      </w:r>
    </w:p>
    <w:p>
      <w:pPr>
        <w:spacing w:lineRule="exact" w:line="600"/>
        <w:ind w:firstLine="643" w:firstLineChars="200"/>
        <w:autoSpaceDE w:val="0"/>
        <w:autoSpaceDN w:val="0"/>
      </w:pPr>
      <w:r>
        <w:rPr>
          <w:rFonts w:ascii="仿宋_GB2312" w:hAnsi="仿宋_GB2312" w:eastAsia="仿宋_GB2312"/>
          <w:b/>
          <w:sz w:val="32"/>
        </w:rPr>
        <w:t>十七、机关运行经费：</w:t>
      </w:r>
      <w:r>
        <w:rPr>
          <w:rFonts w:ascii="仿宋_GB2312" w:hAnsi="仿宋_GB2312" w:eastAsia="仿宋_GB2312"/>
          <w:b w:val="0"/>
          <w:sz w:val="32"/>
        </w:rPr>
        <w:t>指行政单位和参照公务员法管理的事业单位财政拨款基本支出中的公用经费支出。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Rule="exact" w:line="600"/>
        <w:ind w:firstLine="643" w:firstLineChars="200"/>
        <w:autoSpaceDE w:val="0"/>
        <w:autoSpaceDN w:val="0"/>
      </w:pPr>
      <w:r>
        <w:rPr>
          <w:rFonts w:ascii="仿宋_GB2312" w:hAnsi="仿宋_GB2312" w:eastAsia="仿宋_GB2312"/>
          <w:b w:val="0"/>
          <w:sz w:val="32"/>
        </w:rPr>
        <w:t>一、《收入支出决算总表》</w:t>
      </w:r>
    </w:p>
    <w:p>
      <w:pPr>
        <w:spacing w:lineRule="exact" w:line="600"/>
        <w:ind w:firstLine="643" w:firstLineChars="200"/>
        <w:autoSpaceDE w:val="0"/>
        <w:autoSpaceDN w:val="0"/>
      </w:pPr>
      <w:r>
        <w:rPr>
          <w:rFonts w:ascii="仿宋_GB2312" w:hAnsi="仿宋_GB2312" w:eastAsia="仿宋_GB2312"/>
          <w:b w:val="0"/>
          <w:sz w:val="32"/>
        </w:rPr>
        <w:t>二、《收入决算表》</w:t>
      </w:r>
    </w:p>
    <w:p>
      <w:pPr>
        <w:spacing w:lineRule="exact" w:line="600"/>
        <w:ind w:firstLine="643" w:firstLineChars="200"/>
        <w:autoSpaceDE w:val="0"/>
        <w:autoSpaceDN w:val="0"/>
      </w:pPr>
      <w:r>
        <w:rPr>
          <w:rFonts w:ascii="仿宋_GB2312" w:hAnsi="仿宋_GB2312" w:eastAsia="仿宋_GB2312"/>
          <w:b w:val="0"/>
          <w:sz w:val="32"/>
        </w:rPr>
        <w:t>三、《支出决算表》</w:t>
      </w:r>
    </w:p>
    <w:p>
      <w:pPr>
        <w:spacing w:lineRule="exact" w:line="600"/>
        <w:ind w:firstLine="643" w:firstLineChars="200"/>
        <w:autoSpaceDE w:val="0"/>
        <w:autoSpaceDN w:val="0"/>
      </w:pPr>
      <w:r>
        <w:rPr>
          <w:rFonts w:ascii="仿宋_GB2312" w:hAnsi="仿宋_GB2312" w:eastAsia="仿宋_GB2312"/>
          <w:b w:val="0"/>
          <w:sz w:val="32"/>
        </w:rPr>
        <w:t>四、《财政拨款收入支出决算总表》</w:t>
      </w:r>
    </w:p>
    <w:p>
      <w:pPr>
        <w:spacing w:lineRule="exact" w:line="600"/>
        <w:ind w:firstLine="643" w:firstLineChars="200"/>
        <w:autoSpaceDE w:val="0"/>
        <w:autoSpaceDN w:val="0"/>
      </w:pPr>
      <w:r>
        <w:rPr>
          <w:rFonts w:ascii="仿宋_GB2312" w:hAnsi="仿宋_GB2312" w:eastAsia="仿宋_GB2312"/>
          <w:b w:val="0"/>
          <w:sz w:val="32"/>
        </w:rPr>
        <w:t>五、《一般公共预算财政拨款支出决算表》</w:t>
      </w:r>
    </w:p>
    <w:p>
      <w:pPr>
        <w:spacing w:lineRule="exact" w:line="600"/>
        <w:ind w:firstLine="643" w:firstLineChars="200"/>
        <w:autoSpaceDE w:val="0"/>
        <w:autoSpaceDN w:val="0"/>
      </w:pPr>
      <w:r>
        <w:rPr>
          <w:rFonts w:ascii="仿宋_GB2312" w:hAnsi="仿宋_GB2312" w:eastAsia="仿宋_GB2312"/>
          <w:b w:val="0"/>
          <w:sz w:val="32"/>
        </w:rPr>
        <w:t>六、《一般公共预算财政拨款基本支出决算表》</w:t>
      </w:r>
    </w:p>
    <w:p>
      <w:pPr>
        <w:spacing w:lineRule="exact" w:line="600"/>
        <w:ind w:firstLine="643" w:firstLineChars="200"/>
        <w:autoSpaceDE w:val="0"/>
        <w:autoSpaceDN w:val="0"/>
      </w:pPr>
      <w:r>
        <w:rPr>
          <w:rFonts w:ascii="仿宋_GB2312" w:hAnsi="仿宋_GB2312" w:eastAsia="仿宋_GB2312"/>
          <w:b w:val="0"/>
          <w:sz w:val="32"/>
        </w:rPr>
        <w:t>七、《政府性基金预算财政拨款收入支出决算表》</w:t>
      </w:r>
    </w:p>
    <w:p>
      <w:pPr>
        <w:spacing w:lineRule="exact" w:line="600"/>
        <w:ind w:firstLine="643" w:firstLineChars="200"/>
        <w:autoSpaceDE w:val="0"/>
        <w:autoSpaceDN w:val="0"/>
      </w:pPr>
      <w:r>
        <w:rPr>
          <w:rFonts w:ascii="仿宋_GB2312" w:hAnsi="仿宋_GB2312" w:eastAsia="仿宋_GB2312"/>
          <w:b w:val="0"/>
          <w:sz w:val="32"/>
        </w:rPr>
        <w:t>八、《国有资本经营预算财政拨款收入支出决算表》</w:t>
      </w:r>
    </w:p>
    <w:p>
      <w:pPr>
        <w:spacing w:lineRule="exact" w:line="600"/>
        <w:ind w:firstLine="643" w:firstLineChars="200"/>
        <w:autoSpaceDE w:val="0"/>
        <w:autoSpaceDN w:val="0"/>
      </w:pPr>
      <w:r>
        <w:rPr>
          <w:rFonts w:ascii="仿宋_GB2312" w:hAnsi="仿宋_GB2312" w:eastAsia="仿宋_GB2312"/>
          <w:b w:val="0"/>
          <w:sz w:val="32"/>
        </w:rPr>
        <w:t>九、《财政拨款“三公”经费支出决算表》</w:t>
      </w:r>
    </w:p>
    <w:p>
      <w:pPr>
        <w:spacing w:lineRule="exact" w:line="600"/>
        <w:ind w:firstLine="643" w:firstLineChars="200"/>
        <w:autoSpaceDE w:val="0"/>
        <w:autoSpaceDN w:val="0"/>
      </w:pPr>
    </w:p>
    <w:p>
      <w:pPr>
        <w:spacing w:lineRule="exact" w:line="600"/>
        <w:ind w:firstLine="643" w:firstLineChars="200"/>
        <w:autoSpaceDE w:val="0"/>
        <w:autoSpaceDN w:val="0"/>
      </w:pPr>
    </w:p>
    <w:p>
      <w:pPr>
        <w:spacing w:lineRule="exact" w:line="600"/>
        <w:ind w:firstLine="643" w:firstLineChars="200"/>
        <w:autoSpaceDE w:val="0"/>
        <w:autoSpaceDN w:val="0"/>
      </w:pPr>
    </w:p>
    <w:p>
      <w:pPr>
        <w:spacing w:lineRule="exact" w:line="600"/>
        <w:ind w:firstLine="643" w:firstLineChars="200"/>
        <w:autoSpaceDE w:val="0"/>
        <w:autoSpaceDN w:val="0"/>
      </w:pPr>
    </w:p>
    <w:p>
      <w:pPr>
        <w:spacing w:lineRule="exact" w:line="600"/>
        <w:ind w:firstLine="643" w:firstLineChars="200"/>
        <w:autoSpaceDE w:val="0"/>
        <w:autoSpaceDN w:val="0"/>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EA382358-5FB0-4BFB-AA9D-340FD89383CE}"/>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altName w:val="微软雅黑"/>
    <w:panose1 w:val="00000000000000000000"/>
    <w:charset w:val="86"/>
    <w:family w:val="script"/>
    <w:pitch w:val="default"/>
    <w:sig w:usb0="00000000" w:usb1="00000000" w:usb2="00082016" w:usb3="00000000" w:csb0="00040001" w:csb1="00000000"/>
    <w:embedRegular r:id="rId2" w:fontKey="{B0E6D792-6E8F-4F84-99FA-9970FA3A7C22}"/>
  </w:font>
  <w:font w:name="仿宋_GB2312">
    <w:altName w:val="微软雅黑"/>
    <w:panose1 w:val="02010609030101010101"/>
    <w:charset w:val="86"/>
    <w:family w:val="modern"/>
    <w:pitch w:val="default"/>
    <w:sig w:usb0="00000001" w:usb1="080E0000" w:usb2="00000000" w:usb3="00000000" w:csb0="00040000" w:csb1="00000000"/>
    <w:embedRegular r:id="rId3" w:fontKey="{45C515A8-30E2-40B7-BB08-E73601327DDD}"/>
  </w:font>
  <w:font w:name="微软雅黑">
    <w:panose1 w:val="020B0503020204020204"/>
    <w:charset w:val="86"/>
    <w:family w:val="auto"/>
    <w:pitch w:val="default"/>
    <w:sig w:usb0="80000287" w:usb1="2ACF3C50" w:usb2="00000016" w:usb3="00000000" w:csb0="0004001F" w:csb1="00000000"/>
  </w:font>
  <w:font w:name="KSOF8080F95D">
    <w:panose1 w:val="020B0503020204020204"/>
    <w:charset w:val="86"/>
    <w:family w:val="auto"/>
    <w:pitch w:val="default"/>
    <w:sig w:usb0="00000001" w:usb1="00000000" w:usb2="00000000" w:usb3="00000000" w:csb0="00040001" w:csb1="00000000"/>
  </w:font>
  <w:font w:name="WPSEMBED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1994FD">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06890CC">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DOqXm5zwAAAAUBAAAPAAAAAAAAAAEAIAAAACIAAABk&#10;cnMvZG93bnJldi54bWxQSwECFAAUAAAACACHTuJA6rY5ptYBAACyAwAADgAAAAAAAAABACAAAAAe&#10;AQAAZHJzL2Uyb0RvYy54bWxQSwUGAAAAAAYABgBZAQAAZgUAAAAA&#10;">
              <v:fill on="f" focussize="0,0"/>
              <v:stroke on="f"/>
              <v:imagedata o:title=""/>
              <o:lock v:ext="edit" aspectratio="f"/>
              <v:textbox inset="0mm,0mm,0mm,0mm" style="mso-fit-shape-to-text:t;">
                <w:txbxContent>
                  <w:p w14:paraId="106890CC">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AwYmRmZTlkODBlYWI2MWEzOGMyNWRlOTFmY2QzMTQifQ=="/>
  </w:docVars>
  <w:rsids>
    <w:rsidRoot w:val="00672051"/>
    <w:rsid w:val="000D14C6"/>
    <w:rsid w:val="002D017C"/>
    <w:rsid w:val="0039186B"/>
    <w:rsid w:val="00644722"/>
    <w:rsid w:val="00672051"/>
    <w:rsid w:val="006B29E4"/>
    <w:rsid w:val="00702FBA"/>
    <w:rsid w:val="00982448"/>
    <w:rsid w:val="009D5C6A"/>
    <w:rsid w:val="00A22425"/>
    <w:rsid w:val="00D34B7C"/>
    <w:rsid w:val="00F14B19"/>
    <w:rsid w:val="02F73D26"/>
    <w:rsid w:val="034D4FEF"/>
    <w:rsid w:val="03DE0026"/>
    <w:rsid w:val="03E2747C"/>
    <w:rsid w:val="043E5B56"/>
    <w:rsid w:val="04EF7C1A"/>
    <w:rsid w:val="06792773"/>
    <w:rsid w:val="06896151"/>
    <w:rsid w:val="09A729D8"/>
    <w:rsid w:val="0A7B4867"/>
    <w:rsid w:val="0AC260D6"/>
    <w:rsid w:val="0B8C3ECC"/>
    <w:rsid w:val="0BC24C29"/>
    <w:rsid w:val="0C3613A3"/>
    <w:rsid w:val="0C7227A7"/>
    <w:rsid w:val="0DCA6EF7"/>
    <w:rsid w:val="0E4B1576"/>
    <w:rsid w:val="11E15093"/>
    <w:rsid w:val="120E0809"/>
    <w:rsid w:val="181A30AD"/>
    <w:rsid w:val="1875698D"/>
    <w:rsid w:val="19071D6C"/>
    <w:rsid w:val="1C317E4F"/>
    <w:rsid w:val="1C472464"/>
    <w:rsid w:val="1DAF458D"/>
    <w:rsid w:val="1E086ACE"/>
    <w:rsid w:val="1EAA4A5F"/>
    <w:rsid w:val="1F040613"/>
    <w:rsid w:val="1F587A0B"/>
    <w:rsid w:val="1FE96E5D"/>
    <w:rsid w:val="2064678E"/>
    <w:rsid w:val="20DD6197"/>
    <w:rsid w:val="21F317F2"/>
    <w:rsid w:val="2241392C"/>
    <w:rsid w:val="23BC04D2"/>
    <w:rsid w:val="25275618"/>
    <w:rsid w:val="27CF2642"/>
    <w:rsid w:val="282459E2"/>
    <w:rsid w:val="2A053397"/>
    <w:rsid w:val="2A444FB1"/>
    <w:rsid w:val="2A6064E2"/>
    <w:rsid w:val="2BA9200B"/>
    <w:rsid w:val="2D1136DF"/>
    <w:rsid w:val="2DAE0E44"/>
    <w:rsid w:val="2EB07E70"/>
    <w:rsid w:val="2F9E416C"/>
    <w:rsid w:val="2FD27414"/>
    <w:rsid w:val="313F1D52"/>
    <w:rsid w:val="318029AB"/>
    <w:rsid w:val="319D6C1C"/>
    <w:rsid w:val="31C63837"/>
    <w:rsid w:val="326F0A17"/>
    <w:rsid w:val="34623382"/>
    <w:rsid w:val="390019F4"/>
    <w:rsid w:val="3914510A"/>
    <w:rsid w:val="3B1220C9"/>
    <w:rsid w:val="3D5275AC"/>
    <w:rsid w:val="3D55093B"/>
    <w:rsid w:val="3EA7725F"/>
    <w:rsid w:val="40834692"/>
    <w:rsid w:val="423A32B2"/>
    <w:rsid w:val="464B7E04"/>
    <w:rsid w:val="46901EEE"/>
    <w:rsid w:val="469C74D2"/>
    <w:rsid w:val="47445515"/>
    <w:rsid w:val="48E21116"/>
    <w:rsid w:val="49C97D5C"/>
    <w:rsid w:val="49F5131D"/>
    <w:rsid w:val="4AE426AE"/>
    <w:rsid w:val="4B4C0111"/>
    <w:rsid w:val="4D3F1CC6"/>
    <w:rsid w:val="4D730311"/>
    <w:rsid w:val="505A358E"/>
    <w:rsid w:val="50DB5F45"/>
    <w:rsid w:val="52F92565"/>
    <w:rsid w:val="55DA564E"/>
    <w:rsid w:val="56E07045"/>
    <w:rsid w:val="583059FA"/>
    <w:rsid w:val="587E6212"/>
    <w:rsid w:val="58D10A34"/>
    <w:rsid w:val="59973ABF"/>
    <w:rsid w:val="5A74678C"/>
    <w:rsid w:val="5AFC6609"/>
    <w:rsid w:val="5C3B09A8"/>
    <w:rsid w:val="5FA17648"/>
    <w:rsid w:val="613409CB"/>
    <w:rsid w:val="61A46A97"/>
    <w:rsid w:val="62DD7D21"/>
    <w:rsid w:val="65D97752"/>
    <w:rsid w:val="664C500C"/>
    <w:rsid w:val="670267B3"/>
    <w:rsid w:val="6773145F"/>
    <w:rsid w:val="68DB0208"/>
    <w:rsid w:val="69846A0E"/>
    <w:rsid w:val="69AD798C"/>
    <w:rsid w:val="6B68175F"/>
    <w:rsid w:val="6B8B5C99"/>
    <w:rsid w:val="6E0F7A08"/>
    <w:rsid w:val="6E801ABC"/>
    <w:rsid w:val="71473612"/>
    <w:rsid w:val="716B13F9"/>
    <w:rsid w:val="718F7F65"/>
    <w:rsid w:val="73423603"/>
    <w:rsid w:val="73DE4104"/>
    <w:rsid w:val="73FB6630"/>
    <w:rsid w:val="74CE04EC"/>
    <w:rsid w:val="74E76DCD"/>
    <w:rsid w:val="76660D7C"/>
    <w:rsid w:val="76CF72D3"/>
    <w:rsid w:val="77ED6F44"/>
    <w:rsid w:val="78B87A58"/>
    <w:rsid w:val="795A0A34"/>
    <w:rsid w:val="79FB30B5"/>
    <w:rsid w:val="7A0D3BC7"/>
    <w:rsid w:val="7A3A3CDB"/>
    <w:rsid w:val="7EAC4F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9">
    <w:name w:val="Default Paragraph Font"/>
    <w:semiHidden/>
    <w:unhideWhenUsed/>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customStyle="1" w:styleId="10">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1">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2">
    <w:name w:val="WPSOffice手动目录 1"/>
    <w:qFormat/>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0D2BC71-196F-4E8D-B958-07750D1EE8B3}">
  <ds:schemaRefs/>
</ds:datastoreItem>
</file>

<file path=docProps/app.xml><?xml version="1.0" encoding="utf-8"?>
<Properties xmlns="http://schemas.openxmlformats.org/officeDocument/2006/extended-properties" xmlns:vt="http://schemas.openxmlformats.org/officeDocument/2006/docPropsVTypes">
  <Template>Normal.dotm</Template>
  <Pages>3</Pages>
  <Words>519</Words>
  <Characters>537</Characters>
  <Lines>10</Lines>
  <Paragraphs>2</Paragraphs>
  <TotalTime>7</TotalTime>
  <ScaleCrop>false</ScaleCrop>
  <LinksUpToDate>false</LinksUpToDate>
  <CharactersWithSpaces>543</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2026-07-22T07:37:00Z</dcterms:created>
  <dc:creator>GXR</dc:creator>
  <cp:lastModifiedBy>净</cp:lastModifiedBy>
  <cp:lastPrinted>2024-07-22T11:58:00Z</cp:lastPrinted>
  <dcterms:modified xsi:type="dcterms:W3CDTF">2026-08-25T03:09:34Z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8FDA567F26D84A8C8A1B02E29FDE1AE6_13</vt:lpwstr>
  </property>
  <property fmtid="{D5CDD505-2E9C-101B-9397-08002B2CF9AE}" pid="4" name="KSOTemplateDocerSaveRecord">
    <vt:lpwstr>eyJoZGlkIjoiYzdkNWY5OGM4OTRiMDBlYmMyNmZmZGZhMDgxMzY1MzQiLCJ1c2VySWQiOiI0MDU5MTQxNzUifQ==</vt:lpwstr>
  </property>
</Properties>
</file>