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body>
    <w:p>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2025</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新疆吉木萨尔县二工河行洪通道至东槽子水库段中小河流治理项目</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吉木萨尔县水利局本级</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吉木萨尔县水利局本级</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徐冲宇</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2026年06月03日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新疆吉木萨尔县二工河行洪通道至东槽子水库段中小河流治理项目位于二工河的上、下游河段，由于X183县道段至羊坝闸上游段已修建完成，羊坝闸上游段至东槽子水库受洪水威胁最大影响面最广，同时该段防洪标准不足5年一遇。本次中小河流治理工程河长9.809km，位于冲洪积倾斜平原中下游，总地势南高北低。规划治理段河道向下侵蚀现象较严重，河流两岸岸坡直立，有较明显的洪水冲刷印迹，岸坡不稳定，河道两岸有农田和农舍毗邻。由于缺乏必要的防洪护堤设施，在洪水冲击下，河床两岸坍塌、冲刷很严重。历史上就多次发生洪水冲毁交通桥梁、乡村道路，造成大部分地区交通受阻。因此中小河流治理工程很有必要。项目实施后将保障行洪通道的畅通和保障河道正常行洪能力，保护河道两岸的耕地1.55万亩，居民1.01万人安全。因此，建设新疆吉木萨尔县二工河行洪通道至东槽子水库段中小河流治理项目是十分必要和紧迫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（1）项目名称：新疆吉木萨尔县二工河行洪通道至东槽子水库段中小河流治理项目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（2）项目主要内容：该项目综合治理河长9.809km；两岸总计治理10.93km，左岸治理8.13km，右岸治理2.08km，均为护岸形式，排洪渠0.65km；河道疏浚4.878km；配套相关附属建筑物。</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实施主体：吉木萨尔县水利管理站。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实施时间：本项目实施周期为2025年9月-2026年7月。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吉木萨尔县水利管理站委托昌吉方汇水电设计有限公司编制完成《新疆吉木萨尔县二工河行洪通道至东槽子水库段中小河流治理项目初步设计（代可研）报告》。2025年4月2日，水利部黄河委员会对新疆吉木萨尔县二工河行洪通道至东槽子水库段中小河流治理项目初步设计（代可研）进行技术审核并出具技术审核意见。2025年4月23日，昌吉州水利局印发《关于新疆吉木萨尔县二工河行洪通道至东槽子水库段中小河流治理项目初步设计（代可研）的批复》（昌州水字〔2025〕65号）。2025年7月24日完成招投标工作。该项目于2025年9月8日开工建设，计划2026年7月2日完成建设任务。</w:t>
      </w:r>
      <w:r>
        <w:rPr>
          <w:rStyle w:val="Strong"/>
          <w:rFonts w:ascii="楷体" w:eastAsia="楷体" w:hAnsi="楷体" w:hint="eastAsia"/>
          <w:b w:val="0"/>
          <w:bCs w:val="0"/>
          <w:spacing w:val="-4"/>
          <w:sz w:val="32"/>
          <w:szCs w:val="32"/>
        </w:rPr>
        <w:t xml:space="preserve">截至</w:t>
      </w:r>
      <w:r>
        <w:rPr>
          <w:rStyle w:val="Strong"/>
          <w:rFonts w:ascii="楷体" w:eastAsia="楷体" w:hAnsi="楷体" w:hint="eastAsia"/>
          <w:b w:val="0"/>
          <w:bCs w:val="0"/>
          <w:spacing w:val="-4"/>
          <w:sz w:val="32"/>
          <w:szCs w:val="32"/>
        </w:rPr>
        <w:t xml:space="preserve">12月底，完成中小河流治理长度7.98km，项目支出资金1949.04万元。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吉木萨尔县水利管理站主要职能：负责水利工程规划及建设管理工作，负责渠首、干渠及支渠出水口水利工程的巡查及维护工作等。</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吉木萨尔县水利管理站为吉木萨尔县水利局下属事业单位，行政级别为副科级，下设六个股室：工程管理股、灌溉管理股、水利信息化股、水旱灾害防御股、城镇地区水管股、南部山区水管股。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本项目预算安排总额为2384.44万元，资金来源为中央水利发展资金、地方配套资金，其中：中央水利发展资金2299万元，县财政资金85.44万元，2025年实际收到预算资金2384.44万元，预算资金到位率为100%。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2025年12月31日，本项目实际支付资金1949.04万元，预算执行率81.74%，结转资金435.4万元。本项目资金主要用于支付用于支付支付工程款、监理费、设计费等1863.6万元、支付林地补偿费57.35万元、支付水土保持费28.09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综合治理河长为9.809km，总投资4649.12万元。2025年本次计划支付项目工程费用2299万元、林草补偿费57.3541万元、水土保持费28.09万元，共计2384.4441万元。项目的建设保障行洪通道的畅通和保障河道正常行洪能力。</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“中小河流治理长度”指标，预期指标值为“大于等于9.81km”；</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“2025年工程量完成率”指标，预期指标值为“大于等于50%”；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“2025年已完工程质量合格率”指标，预期指标值为“等于100%”；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“项目补偿程序合规率”指标，预期指标值为“等于100%”；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“项目开工时间”指标，预期指标值为“2025年7月前”；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“项目补偿款支付及时率”指标，预期指标值为“等于100%”；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“项目工程费用”指标，预期指标值为“小于等于2299万元”；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“水土保持费”指标，预期指标值为“小于等于28.09万元”；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“林草补偿费”指标，预期指标值为“小于等于57.35万元”；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“建设期未发生重大安全事故”指标，预期指标值为“等于0起”；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“未发生环保处罚”指标，预期指标值为“等于0起”；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“收款单位满意度”指标，预期指标值为“大于等于90%”。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小于自治区项目支出绩效目标设置指引大于的通知》（新财预〔2022〕42号）文件精神，我单位针对新疆吉木萨尔县二工河行洪通道至东槽子水库段中小河流治理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新疆吉木萨尔县二工河行洪通道至东槽子水库段中小河流治理项目，评价核心为项目资金、项目产出、项目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小于自治区项目支出绩效目标设置指引大于的通知》（新财预〔2022〕42号）等要求，绩效评价应遵循如下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w:t>
      </w:r>
      <w:r>
        <w:rPr>
          <w:rStyle w:val="Strong"/>
          <w:rFonts w:ascii="楷体" w:eastAsia="楷体" w:hAnsi="楷体" w:hint="eastAsia"/>
          <w:b w:val="0"/>
          <w:bCs w:val="0"/>
          <w:spacing w:val="-4"/>
          <w:sz w:val="32"/>
          <w:szCs w:val="32"/>
        </w:rPr>
        <w:t xml:space="preserve">截至</w:t>
      </w:r>
      <w:r>
        <w:rPr>
          <w:rStyle w:val="Strong"/>
          <w:rFonts w:ascii="楷体" w:eastAsia="楷体" w:hAnsi="楷体" w:hint="eastAsia"/>
          <w:b w:val="0"/>
          <w:bCs w:val="0"/>
          <w:spacing w:val="-4"/>
          <w:sz w:val="32"/>
          <w:szCs w:val="32"/>
        </w:rPr>
        <w:t xml:space="preserve">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小于自治区项目支出绩效目标设置指引大于的通知》（新财预〔2022〕42号）要求分为基本达成目标、部分实现目标、实现目标程度较低三档，分别按照该指标对应分值区间100.00%（含）-80.00%（含）、80.00%-60.00%（含）、60.00%-0.00%合理确定分值，详细评价方法的应用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2026年4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徐冲宇：主要负责项目策划和监督，全面负责项目绩效评价报告的最终质量，对评价人员出具的最终报告质量进行复核，确保评估结果的客观性；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张川燕：主要负责资料的收集，取证、数据统计分析；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马金刚：主要负责项目报告的制定，指标的研判，数据分析及报告撰写。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11日-4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2026年4月15日-4月20日，评价小组按照绩效评价的原则和规范，对取得的资料进行审查核实，对采集的数据进行分析，按照绩效评价指标评分表逐项进行打分、分析、汇总各方评价结果。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2026年4月21日-4月28日，评价小组撰写绩效评价报告，按照新疆维吾尔自治区财政绩效管理信息系统绩效评价模块中统一格式和文本框架撰写绩效评价报告并提交审核。</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部分达成年初设立的绩效目标，在实施过程中取得了良好的成效，具体表现在通过项目的实施，完成了中小河流治理长度7.98km，保证已完工项目质量合格，项目已开工建设。但也存在一些不足，由于该项目属于跨年度工程在工程资金执行率方面还存在不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共中央国务院关于全面实施预算绩效管理的意见》《项目支出绩效评价管理办法》（财预〔2020〕10号）文件，绩效评价总分设置为100分，划分为四档：90（含）-100分为“优”、80（含）-90分为“良”、70（含）-80分为“中”、70分以下为“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级绩效评价遵循科学规范、公开公正、绩效相关和问题导向的原则、重点评价项目的资金投入与财务管理、组织管理、产出与效益效果。在此基础上，以相关的项目数据为基础，综合运用不同的评价方法，结合评价标准和评分规则。经评价分析，项目总体实施情况较好，项目综合得分为88.07分，评价结果为良。完成了中小河流治理长度7.98km，保证已完工项目质量合格，项目已开工建设。具体得分情况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20.00 16.72 21.35 20.00 10.00 88.07</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95.24% 88.00% 71.17% 100.00% 100.00% 88.07%</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项目决策类指标由3个二级指标和6个三级指标构成，权重分21.00分，实际得分20.00分。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2025年4月23日，昌吉州水利局印发《关于新疆吉木萨尔县二工河行洪通道至东槽子水库段中小河流治理项目初步设计（代可研）的批复》（昌州水字〔2025〕65号）内容，符合行业发展规划和政策要求；属于我单位履职所需；根据《财政资金直接支付申请书》，本项目资金性质为“公共财政预算”功能分类为“水利工程建设”经济分类为“基础设施建设”属于公共财政支持范围，符合中央、地方事权支出责任划分原则；经检查我单位财政管理一体化信息系统，本项目不存在重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本项目于2025年4月23日，昌吉州水利局印发《关于新疆吉木萨尔县二工河行洪通道至东槽子水库段中小河流治理项目初步设计（代可研）的批复》（昌州水字〔2025〕65号）进行立项批复，立项程序规范。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项目支出绩效目标表内容如下：该项目共设置7个二级指标分别为数量指标、质量指标、时效指标、经济成本指标、生态效益指标、社会效益指标、满意度指标；12个三级指标分别为：中小河流治理长度大于等于9.81km，2025年工程量完成率大于等于50%，2025年已完工程质量合格率等于100%，项目补偿程序合规率等于100%，项目开工时间2025年7月前，项目补偿款支付及时率等于100%，项目工程费用小于等于2299万元，水土保持费小于等于28.09万元，林草补偿费小于等于57.35万元，建设期未发生重大安全事故等于0起，未发生环保处罚等于0起，收款单位满意度大于等于90%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完成中小河流治理长度7.98km，保证已完工项目质量合格，支付项目工程费用1863.6万元，支付水土保持费28.09万元，支付林草补偿费57.35万元，建设期未发生重大安全事故和环保处罚。绩效目标与实际工作内容一致，两者具有相关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了数量指标的中小河流治理长度7.98km及2025年工程量完成率为100%；完成了质量指标的2025年已完工程质量合格率、项目补偿程序合规率；完成了时效指标的项目补偿款支付及时率；还完成了成本指标中的经济成本指标支付支付项目工程费用1863.6万元，支付水土保持费28.09万元，支付林草补偿费57.35万元；建设期未发生重大安全事故和环保处罚，收款单位满意度达到了95%。项目的建设完成，完成了各项指标，达到了项目预期产出效益，预期产出效益和效果符合正常的业绩水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④该项目批复的预算金额为2384.44万元，《项目支出绩效目标表》中预算金额为1949.04万元，预算确定的项目资金与预算确定的项目投资额不匹配，扣1分。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综上所述，本指标满分为4.00分，根据评分标准得3.00分，本项目绩效目标设置较合理。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7个，三级指标12个，定量指标11个，定性指标1个，指标量化率为91.67%，量化率达70.00%以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中小河流治理长度大于等于9.81km”“2025年工程量完成率大于等于50%”，三级指标的年度指标值与年度绩效目标中任务数一致，已设置时效指标“项目开工时间2025年7月前”。已设置的绩效目标具备明确性、可衡量性、可实现性、相关性、时限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昌吉州水利局印发《关于新疆吉木萨尔县二工河行洪通道至东槽子水库段中小河流治理项目初步设计（代可研）的批复》（昌州水字〔2025〕65号），按设计概算编制本项目预算4649.12万元，即预算编制较科学且经过论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预算申请内容为基建类，项目实际内容为综合治理长度9.81km，预算申请与《新疆吉木萨尔县二工河行洪通道至东槽子水库段中小河流治理项目初步设计（代可研）报告》中涉及的项目内容匹配；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2384.44万元，我单位在预算申请中严格按照项目实施内容及测算标准进行核算，其中：项目工程费用2299万元、水土保持费用28.09万元、林草补偿费用57.35万元。预算确定资金量与实际工作任务相匹配。本项目预算额度测算依据充分，严格按照标准编制，预算确定资金量与实际工作任务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2025年6月11日昌吉州财政局以昌州财农〔2025〕19号文为依据进行资金分配，下拨新疆吉木萨尔县二工河行洪通道至东槽子水库段中小河流治理项目中央水利发展资金2299万元，预算资金分配依据充分。2025年到位县财政资金85.44万元；本项目实际到位资金2384.44万元，资金分配额度合理，与我单位实际需求相适应。</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项目过程管理类指标由2个二级指标和5个三级指标构成，权重分19.00分，实际得分16.72分。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2384.44万元，其中：中央水利发展资金2299万元，其他资金85.44万元，实际到位资金2384.44万元，资金到位率=（实际到位资金/预算资金）×100.00%=（2384.44/2384.44）×100.00%=100%。得分=（实际执行率-60.00%）/（1-60.00%）×4.00=4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本项目实际支出资金1949.04万元，预算执行率=（实际支出资金/实际到位资金）×100.00%=（1949.04/2384.44）×100.00%=81.74%；</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项目未完成，总体完成率为54.40%；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得分=（实际完成率-60.00%）/（1-60.00%）×权重=54.40%×5.00=2.72分。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综上所述，本指标满分为5.00分，根据评分标准得2.72分，本项目资金分配较合理。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中央财政预算管理一体化资金支付管理办法（试行）》财库〔2021〕5号，《新疆维吾尔自治区水利发展资金管理办法》《新疆维吾尔自治区水利发展资金管理办法》，资金的拨付有完整的审批程序和手续，资金实际使用方向与预算批复用途一致，不存在截留、挤占、挪用、虚列支出的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新疆维吾尔自治区水利发展资金管理办法》、《新疆维吾尔自治区政府采购供应商监督管理暂行办法》、《新疆维吾尔自治区建筑市场管理条例》、《新疆维吾尔自治区建设工程造价管理办法》，《中央财政预算管理一体化资金支付管理办法（试行）》（财库〔2021〕5号)、《新疆维吾尔自治区水利发展资金管理办法》，上述已建立的制度均符合行政事业单位内控管理要求，财务和业务管理制度合法、合规、完整，本项目执行符合上述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新疆维吾尔自治区建设工程招标投标管理办法》（新建法〔2000〕7号），《中华人民共和国合同法》等相关法律法规及管理规定，项目具备完整规范的立项程序；经查证项目实施过程资料，项目招投标、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新疆吉木萨尔县二工河行洪通道至东槽子水库段中小河流治理项目工作领导小组，由徐冲宇任组长，负责项目的组织工作；马金刚任副组长，负责项目的实施工作；组员包括：郑培欢、阿尔祖古丽，主要负责项目监督管理、验收以及资金核拨等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项目产出类指标由4个二级指标和9个三级指标构成，权重分30.00分，实际得分21.35分。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“中小河流治理长度”指标：预期指标值为“大于等于9.81km”，实际完成指标值为“等于7.98km”，指标完成率为81%。扣分原因分析：该项目为跨年度工程。根据监理单位出具证明显示，实际完成值为7.98km。</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综上所述，本指标满分为3.00分，根据评分标准得1.57分。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“2025年工程量完成率”指标：预期指标值为“大于等于50%”，实际完成指标值为“等于100%”，指标完成率为161.7%。扣分原因分析：该项目为跨年度工程，按照项目工程进度支付。</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综上所述，本指标满分为3.00分，根据评分标准得1.15分。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“2025年已完工程质量合格率”指标：预期指标值为“等于100%”，实际完成指标值为“等于100%”，指标完成率为100%。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“项目补偿程序合规率”指标：预期指标值为“等于100%”，实际完成指标值为“等于100%”，指标完成率为100%。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“项目开工时间”指标：预期指标值为“2025年7月前”，实际完成指标值为“50%”，指标完成率为0%。扣分原因分析：实际为2025年9月开工建设。</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“项目补偿款支付及时率”指标：预期指标值为“等于100%”，实际完成指标值为“等于100%”，指标完成率为100%。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“项目工程费用”指标：预期指标值为“小于等于2299万元”，实际完成指标值为“等于1863.6万元”，指标完成率为81.06%。扣分原因分析：该项目为跨年度工程，按照项目工程进度支付。</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综上所述，本指标满分为5.00分，根据评分标准得2.63分。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“水土保持费”指标：预期指标值为“小于等于28.09万元”，实际完成指标值为“等于28.09万元”，指标完成率为100%。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“林草补偿费”指标：预期指标值为“小于等于57.35万元”，实际完成指标值为“等于57.35万元”，指标完成率为100%。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项目效益类指标由3个二级指标和2个三级指标构成，权重分20.00分，实际得分20.00分。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“建设期未发生重大安全事故”指标：预期指标值为“等于0起”，实际完成指标值为“等于0起”，指标完成率为100%。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“未发生环保处罚”指标：预期指标值为“等于0起”，实际完成指标值为“等于0起”，指标完成率为100%。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项目满意度类指标由1个二级指标和1个三级指标构成，权重分10.00分，实际得分10.00分。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“收款单位满意度”指标：预期指标值为“大于等于90%”，实际完成指标值为“等于90%”，指标完成率为100%。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1"/>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已完成治理河道长度7.98公里，在实施过程中积累了较为成熟的治理经验。一是坚持统筹谋划、科学布局，立足流域实际合理确定防洪治理标准，统筹实施河道疏浚、岸坡整治、堤防加固等措施，做到防洪保安与生态保护并重，方案贴合实际、经济可行。二是严格规范建设管理，认真落实项目法人制、招投标制、工程监理制和合同管理制，加强关键工序和隐蔽工程质量管控，严守安全生产底线，保障工程建设质量。三是坚持民生导向，主动做好群众沟通协调工作，妥善化解施工矛盾，切实提升了区域防洪能力和群众满意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存在偏差率，主要是该项目为跨年项目，受汛期降雨、征地协调等因素制约，部分工序施工工期相对紧张，致使项目资金支付执行率低，没有达到预期执行目标，后期要及时予以资金保障，及时化解预期风险，确保项目高质量推进。</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建议绩效审核部门多开展绩效工作填报培训工作，从而能提高绩效评价这项工作的重要性和操作性，一个项目的开始到结束从绩效完成情况就可以反映出该项目是否在可控范围内，也可以严格把控资金，掌握资金动态，避免出现违规等其他影响绩效自评的事情发生。同时加强资金管理，严格落实资金审批流程，做到合规合理。严格按照预算科目和金额控制各项费用支出，严禁超预算支出。对于确需调整预算的情况，应按照规定的程序进行申报和审批，确保预算的严肃性。</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757" w:header="851" w:footer="992" w:gutter="0"/>
      <w:cols w:num="1" w:space="425">
        <w:col w:w="8591" w:space="42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FEA218F"/>
    <w:multiLevelType w:val="singleLevel"/>
    <w:tmpl w:val="3FEA218F"/>
    <w:name w:val="Numbered_f39d8d24-5d63-4c8a-9454-d5d6729ed751"/>
    <w:lvl w:ilvl="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w:docVars>
    <w:docVar w:name="commondata" w:val="eyJoZGlkIjoiMzBlY2RlZTc4MzFlYzYzZjZmMTg4MDMwODUwYTE2N2UifQ=="/>
  </w:docVars>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DefaultParagraphFont">
    <w:name w:val="Default Paragraph Font"/>
    <w:uiPriority w:val="1"/>
    <w:semiHidden/>
    <w:unhideWhenUsed/>
  </w:style>
  <w:style w:type="table" w:default="1" w:styleId="NormalTable">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Theme="minorHAnsi" w:hAnsiTheme="minorHAnsi"/>
      <w:b/>
      <w:i/>
      <w:iCs/>
    </w:rPr>
  </w:style>
  <w:style w:type="character" w:customStyle="1" w:styleId="标题1Char">
    <w:name w:val="标题 1 Char"/>
    <w:basedOn w:val="DefaultParagraphFont"/>
    <w:link w:val="Heading1"/>
    <w:uiPriority w:val="9"/>
    <w:qFormat/>
    <w:rPr>
      <w:rFonts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Theme="majorHAnsi" w:eastAsiaTheme="majorEastAsia" w:hAnsiTheme="majorHAnsi"/>
    </w:rPr>
  </w:style>
  <w:style w:type="character" w:customStyle="1" w:styleId="标题Char">
    <w:name w:val="标题 Char"/>
    <w:basedOn w:val="DefaultParagraphFont"/>
    <w:link w:val="Title"/>
    <w:uiPriority w:val="10"/>
    <w:rPr>
      <w:rFonts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Theme="majorHAnsi" w:eastAsiaTheme="majorEastAsia" w:hAnsiTheme="majorHAnsi"/>
      <w:sz w:val="24"/>
      <w:szCs w:val="24"/>
    </w:rPr>
  </w:style>
  <w:style w:type="paragraph" w:styleId="NoSpacing">
    <w:name w:val="No Spacing"/>
    <w:basedOn w:val="Normal"/>
    <w:uiPriority w:val="1"/>
    <w:qFormat/>
    <w:pPr>
      <w:widowControl/>
      <w:jc w:val="left"/>
    </w:pPr>
    <w:rPr>
      <w:rFonts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webSettings" Target="webSettings.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numbering" Target="numbering.xml"/><Relationship Id="rId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7</TotalTime>
  <Pages>3</Pages>
  <Words>270</Words>
  <Characters>578</Characters>
  <Application>WPS Office_12.1.0.16929_F1E327BC-269C-435d-A152-05C5408002CA</Application>
  <DocSecurity>0</DocSecurity>
  <Lines>4</Lines>
  <Paragraphs>1</Paragraphs>
  <ScaleCrop>false</ScaleCrop>
  <LinksUpToDate>false</LinksUpToDate>
  <CharactersWithSpaces>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