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吉木萨尔县庆阳湖乡小学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吉木萨尔县庆阳湖乡小学无下属预算单位。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2025年度收入总计1,061.88万元，</w:t>
      </w:r>
      <w:r>
        <w:rPr>
          <w:rFonts w:ascii="仿宋_GB2312" w:hAnsi="仿宋_GB2312" w:eastAsia="仿宋_GB2312"/>
          <w:b w:val="0"/>
          <w:sz w:val="32"/>
        </w:rPr>
        <w:t>其中：本年收入合计1,049.03万元，使用非财政拨款结余（含专用结余）0.00万元，年初结转和结余12.86万元。</w:t>
      </w:r>
    </w:p>
    <w:p>
      <w:pPr>
        <w:spacing w:line="580" w:lineRule="exact"/>
        <w:ind w:firstLine="640"/>
        <w:jc w:val="both"/>
      </w:pPr>
      <w:r>
        <w:rPr>
          <w:rFonts w:ascii="仿宋_GB2312" w:hAnsi="仿宋_GB2312" w:eastAsia="仿宋_GB2312"/>
          <w:b/>
          <w:sz w:val="32"/>
        </w:rPr>
        <w:t>2025年度支出总计1,061.88万元，</w:t>
      </w:r>
      <w:r>
        <w:rPr>
          <w:rFonts w:ascii="仿宋_GB2312" w:hAnsi="仿宋_GB2312" w:eastAsia="仿宋_GB2312"/>
          <w:b w:val="0"/>
          <w:sz w:val="32"/>
        </w:rPr>
        <w:t>其中：本年支出合计1,046.40万元，结余分配0.00万元，年末结转和结余15.49万元。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增加44.52万元，增长4.38%，主要原因是：本年在职人员工资调增，社保、公积金基数调增，人员经费增加。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本年收入1,049.03万元，</w:t>
      </w:r>
      <w:r>
        <w:rPr>
          <w:rFonts w:ascii="仿宋_GB2312" w:hAnsi="仿宋_GB2312" w:eastAsia="仿宋_GB2312"/>
          <w:b w:val="0"/>
          <w:sz w:val="32"/>
        </w:rPr>
        <w:t>其中：财政拨款收入1,044.89万元，占99.61%；上级补助收入0.00万元，占0.00%；事业收入0.00万元，占0.00%；经营收入0.00万元，占0.00%；附属单位上缴收入0.00万元，占0.00%；其他收入4.14万元，占0.39%。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本年支出1,046.40万元，</w:t>
      </w:r>
      <w:r>
        <w:rPr>
          <w:rFonts w:ascii="仿宋_GB2312" w:hAnsi="仿宋_GB2312" w:eastAsia="仿宋_GB2312"/>
          <w:b w:val="0"/>
          <w:sz w:val="32"/>
        </w:rPr>
        <w:t>其中：基本支出1,021.46万元，占97.62%；项目支出24.94万元，占2.38%；上缴上级支出0.00万元，占0.00%；经营支出0.00万元，占0.00%；对附属单位补助支出0.00万元，占0.00%。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2025年度财政拨款收入总计1,044.89万元，</w:t>
      </w:r>
      <w:r>
        <w:rPr>
          <w:rFonts w:ascii="仿宋_GB2312" w:hAnsi="仿宋_GB2312" w:eastAsia="仿宋_GB2312"/>
          <w:b w:val="0"/>
          <w:sz w:val="32"/>
        </w:rPr>
        <w:t>其中：年初财政拨款结转和结余0.00万元，本年财政拨款收入1,044.89万元。</w:t>
      </w:r>
      <w:r>
        <w:rPr>
          <w:rFonts w:ascii="仿宋_GB2312" w:hAnsi="仿宋_GB2312" w:eastAsia="仿宋_GB2312"/>
          <w:b/>
          <w:sz w:val="32"/>
        </w:rPr>
        <w:t>财政拨款支出总计1,044.89万元，</w:t>
      </w:r>
      <w:r>
        <w:rPr>
          <w:rFonts w:ascii="仿宋_GB2312" w:hAnsi="仿宋_GB2312" w:eastAsia="仿宋_GB2312"/>
          <w:b w:val="0"/>
          <w:sz w:val="32"/>
        </w:rPr>
        <w:t>其中：年末财政拨款结转和结余0.00万元，本年财政拨款支出1,044.89万元。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增加31.25万元，增长3.08%，主要原因是：本年在职人员工资调增，社保、公积金基数调增，人员经费增加。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年初预算数907.51万元，决算数1,044.89万元，预决算差异率15.14%，主要原因是：本年在职人员工资调增，社保、公积金基数调增，人员经费增加。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559.92万元，占比53.59%，主要用于人员经费包括：基本工资、津贴补贴、奖金、绩效工资、机关事业单位基本养老保险缴费、职业年金缴费、职工基本医疗保险缴费、公务员医疗补助缴费、其他社会保障缴费、住房公积金、退休费、生活补助、其他对个人和家庭的补助。 公用经费包括：办公费、电费、差旅费、维修（护）费、培训费、工会经费、其他商品和服务支出。。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2025年度一般公共预算财政拨款支出1,024.96万元，</w:t>
      </w:r>
      <w:r>
        <w:rPr>
          <w:rFonts w:ascii="仿宋_GB2312" w:hAnsi="仿宋_GB2312" w:eastAsia="仿宋_GB2312"/>
          <w:b w:val="0"/>
          <w:sz w:val="32"/>
        </w:rPr>
        <w:t>占本年支出合计的97.95%。</w:t>
      </w:r>
      <w:r>
        <w:rPr>
          <w:rFonts w:ascii="仿宋_GB2312" w:hAnsi="仿宋_GB2312" w:eastAsia="仿宋_GB2312"/>
          <w:b/>
          <w:sz w:val="32"/>
        </w:rPr>
        <w:t>与上年相比，</w:t>
      </w:r>
      <w:r>
        <w:rPr>
          <w:rFonts w:ascii="仿宋_GB2312" w:hAnsi="仿宋_GB2312" w:eastAsia="仿宋_GB2312"/>
          <w:b w:val="0"/>
          <w:sz w:val="32"/>
        </w:rPr>
        <w:t>增加11.32万元，增长1.12%，主要原因是：本年在职人员工资调增，社保、公积金基数调增，人员经费增加。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年初预算数907.51万元，决算数1,024.96万元，预决算差异率12.94%，主要原因是：年中追加人员工资、社保、公积金基数调增部分资金，导致预决算存在差异。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1.教育支出（类）969.50万元，占94.59%。</w:t>
      </w:r>
    </w:p>
    <w:p>
      <w:pPr>
        <w:spacing w:line="580" w:lineRule="exact"/>
        <w:ind w:firstLine="640"/>
        <w:jc w:val="both"/>
      </w:pPr>
      <w:r>
        <w:rPr>
          <w:rFonts w:ascii="仿宋_GB2312" w:hAnsi="仿宋_GB2312" w:eastAsia="仿宋_GB2312"/>
          <w:b w:val="0"/>
          <w:sz w:val="32"/>
        </w:rPr>
        <w:t>2.社会保障和就业支出（类）29.82万元，占2.91%。</w:t>
      </w:r>
    </w:p>
    <w:p>
      <w:pPr>
        <w:spacing w:line="580" w:lineRule="exact"/>
        <w:ind w:firstLine="640"/>
        <w:jc w:val="both"/>
      </w:pPr>
      <w:r>
        <w:rPr>
          <w:rFonts w:ascii="仿宋_GB2312" w:hAnsi="仿宋_GB2312" w:eastAsia="仿宋_GB2312"/>
          <w:b w:val="0"/>
          <w:sz w:val="32"/>
        </w:rPr>
        <w:t>3.卫生健康支出（类）16.52万元，占1.61%。</w:t>
      </w:r>
    </w:p>
    <w:p>
      <w:pPr>
        <w:spacing w:line="580" w:lineRule="exact"/>
        <w:ind w:firstLine="640"/>
        <w:jc w:val="both"/>
      </w:pPr>
      <w:r>
        <w:rPr>
          <w:rFonts w:ascii="仿宋_GB2312" w:hAnsi="仿宋_GB2312" w:eastAsia="仿宋_GB2312"/>
          <w:b w:val="0"/>
          <w:sz w:val="32"/>
        </w:rPr>
        <w:t>4.住房保障支出（类）9.12万元，占0.89%。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1.教育支出（类）普通教育（款）学前教育（项）：支出决算数为409.59万元，比上年决算增加258.51万元，增长171.11%，主要原因是：本年增加人员奖金绩效发放。</w:t>
      </w:r>
    </w:p>
    <w:p>
      <w:pPr>
        <w:spacing w:line="580" w:lineRule="exact"/>
        <w:ind w:firstLine="640"/>
        <w:jc w:val="both"/>
      </w:pPr>
      <w:r>
        <w:rPr>
          <w:rFonts w:ascii="仿宋_GB2312" w:hAnsi="仿宋_GB2312" w:eastAsia="仿宋_GB2312"/>
          <w:b w:val="0"/>
          <w:sz w:val="32"/>
        </w:rPr>
        <w:t>2.教育支出（类）普通教育（款）小学教育（项）：支出决算数为559.92万元，比上年决算减少243.92万元，下降30.34%，主要原因是：本年下半学期学校撤并，学生并入其他学校，生均经费减少。</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3.教育支出（类）普通教育（款）其他普通教育支出（项）：支出决算数为0.00万元，比上年决算减少46.00万元，下降100.00%，主要原因是：2025年校舍安全保障资金较上年减少。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4.教育支出（类）教育费附加安排的支出（款）其他教育费附加安排的支出（项）：支出决算数为0.00万元，比上年决算减少7.82万元，下降100.00%，主要原因是：本年本科目减少办公费、取暖费支出。</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17.67万元，比上年决算增加17.67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12.15万元，比上年决算增加12.15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11.55万元，比上年决算增加11.55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4.97万元，比上年决算增加4.97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9.住房保障支出（类）住房改革支出（款）住房公积金（项）：支出决算数为9.12万元，比上年决算增加4.22万元，增长86.12%，主要原因是：本年在职人员工资基数调增，公积金缴费基数上涨，相应支出增加。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2025年度一般公共预算财政拨款基本支出1,000.02万元，其中：</w:t>
      </w:r>
      <w:r>
        <w:rPr>
          <w:rFonts w:ascii="仿宋_GB2312" w:hAnsi="仿宋_GB2312" w:eastAsia="仿宋_GB2312"/>
          <w:b/>
          <w:sz w:val="32"/>
        </w:rPr>
        <w:t>人员经费956.83万元，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其他对个人和家庭的补助。</w:t>
      </w:r>
    </w:p>
    <w:p>
      <w:pPr>
        <w:spacing w:line="580" w:lineRule="exact"/>
        <w:ind w:firstLine="640"/>
        <w:jc w:val="both"/>
      </w:pPr>
      <w:r>
        <w:rPr>
          <w:rFonts w:ascii="仿宋_GB2312" w:hAnsi="仿宋_GB2312" w:eastAsia="仿宋_GB2312"/>
          <w:b/>
          <w:sz w:val="32"/>
        </w:rPr>
        <w:t>公用经费43.18万元，</w:t>
      </w:r>
      <w:r>
        <w:rPr>
          <w:rFonts w:ascii="仿宋_GB2312" w:hAnsi="仿宋_GB2312" w:eastAsia="仿宋_GB2312"/>
          <w:b w:val="0"/>
          <w:sz w:val="32"/>
        </w:rPr>
        <w:t>包括：办公费、电费、差旅费、维修（护）费、培训费、工会经费、其他商品和服务支出。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2025年度政府性基金预算财政拨款收入总计19.93万元，</w:t>
      </w:r>
      <w:r>
        <w:rPr>
          <w:rFonts w:ascii="仿宋_GB2312" w:hAnsi="仿宋_GB2312" w:eastAsia="仿宋_GB2312"/>
          <w:b w:val="0"/>
          <w:sz w:val="32"/>
        </w:rPr>
        <w:t>其中：年初结转和结余0.00万元，本年收入19.93万元。</w:t>
      </w:r>
      <w:r>
        <w:rPr>
          <w:rFonts w:ascii="仿宋_GB2312" w:hAnsi="仿宋_GB2312" w:eastAsia="仿宋_GB2312"/>
          <w:b/>
          <w:sz w:val="32"/>
        </w:rPr>
        <w:t>政府性基金预算财政拨款支出总计19.93万元，</w:t>
      </w:r>
      <w:r>
        <w:rPr>
          <w:rFonts w:ascii="仿宋_GB2312" w:hAnsi="仿宋_GB2312" w:eastAsia="仿宋_GB2312"/>
          <w:b w:val="0"/>
          <w:sz w:val="32"/>
        </w:rPr>
        <w:t>其中：年末结转和结余0.00万元，本年支出19.93万元。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增加19.93万元，增长100.00%，主要原因是：本年年中追加其他政府性基金债务收入安排的支出项目。</w:t>
      </w:r>
      <w:r>
        <w:rPr>
          <w:rFonts w:ascii="仿宋_GB2312" w:hAnsi="仿宋_GB2312" w:eastAsia="仿宋_GB2312"/>
          <w:b/>
          <w:sz w:val="32"/>
        </w:rPr>
        <w:t>与年初预算相比，</w:t>
      </w:r>
      <w:r>
        <w:rPr>
          <w:rFonts w:ascii="仿宋_GB2312" w:hAnsi="仿宋_GB2312" w:eastAsia="仿宋_GB2312"/>
          <w:b w:val="0"/>
          <w:sz w:val="32"/>
        </w:rPr>
        <w:t>年初预算数0.00万元，决算数19.93万元，预决算差异率100.00%，主要原因是：年中追加其他政府性基金债务收入安排的支出项目，导致预决算存在差异。</w:t>
      </w:r>
    </w:p>
    <w:p>
      <w:pPr>
        <w:spacing w:line="580" w:lineRule="exact"/>
        <w:ind w:firstLine="640"/>
        <w:jc w:val="both"/>
      </w:pPr>
      <w:r>
        <w:rPr>
          <w:rFonts w:ascii="仿宋_GB2312" w:hAnsi="仿宋_GB2312" w:eastAsia="仿宋_GB2312"/>
          <w:b w:val="0"/>
          <w:sz w:val="32"/>
        </w:rPr>
        <w:t>政府性基金预算财政拨款本年支出19.93万元。具体情况如下：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19.93万元，比上年决算增加19.93万元，增长100.00%，主要原因是：本年年中追加其他政府性基金债务收入安排的支出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2025年度吉木萨尔县庆阳湖乡小学（事业单位）公用经费支出63.11万元，比上年增加37.72万元，增长148.56%，主要原因是：2025年培训费、工会经费支出较上年增加。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2025年度政府采购支出总额0.07万元，其中：政府采购货物支出0.07万元、政府采购工程支出0.00万元、政府采购服务支出0.00万元。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授予中小企业合同金额0.07万元，占政府采购支出总额的100.00%，其中：授予小微企业合同金额0.07万元，占政府采购支出总额的100.00%。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5,378.52平方米，价值1,057.46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0.00万元，实际执行总额0.00万元；预算绩效评价项目5个，全年预算数13.26万元，全年执行数13.26万元。预算绩效管理取得的成效：一、坚持党建引领，推动学校发展：1.加强党性教育，深化理论学习。2024年，党支部始终坚持把政治理论学习放在首位，紧密结合学校实际，通过多种形式开展理论学习，明确全体党员在思想政治上始终与党中央保持高度一致。2.落实主体责任，强化政治责任担当。党支部将党建工作与学校的中心工作紧密结合，明确党的建设始终服务于教育教学工作。3.严格党内组织生活，落实“三会一课”制度。党支部坚持党内组织生活常态化，严格落实“三会一课”制度，明确党组织生活规范、严谨。4.创新党建活动形式，增强党组织凝聚力。二、坚持德育为首，促学生全面发展：1.主题教育。开展了丰富多彩的主题教育，如爱国主义教育、文明礼仪教育、环保教育、法制教育等。2.校园文化建设。重视校园文化建设，通过优化校园环境、举办校园文化节、开展社团活动等方式，营造积极向上的校园文化氛围。3.加强心理健康教育筑牢心理健康防线。心理健康教育逐渐成为德育工作的重要组成部分，特别是在落实“双减”政策的背景下，关注学生心理健康显得尤为重要。‌三、深化教学改革，激发教育活力：1.课程与教学改革：持续深化课程改革，严格按照国家课程标准开足开齐各类课程。2.教学质量提升：通过定期组织教学质量检测与分析，及时掌握学生学习情况，调整教学策略。针对学习困难学生，实施“一对一”帮扶计划，由任课教师制定个性化辅导方案，取得了良好效果。3.教师培训与专业发展：积极组织教师参加各类线上线下培训，包括新课程理念培训、教育技术应用培训、学科教学技能培训等。发现的问题及原因：1.教师结构性短缺与专业发展瓶颈：部分学科（如科学、道法信息技术）专业教师依然不足，教师专业能力提升的系统性、高层次培训机会有限。2.教育教学改革深度不够：课堂教学模式的创新、信息技术与学科教学的深度融合仍需加强，校本教研的实效性有待进一步提升。3.家校社协同育人机制有待深化：部分家长家庭教育理念和方法仍需引导，与社区资源的联动机制不够健全。下一步改进措施：加大教师招聘力度，积极争取上级支持，补充紧缺学科教师；持续加大教育投入，逐步更新完善教学设施设备，加强教师信息技术应用能力培训，提升信息化教学水平；加强家校沟通与合作，通过举办家长学校、家长会、亲子活动等形式，提高家长对教育的重视程度与参与度，形成家校教育合力。具体附项目支出绩效自评表。</w:t>
      </w:r>
    </w:p>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庆阳湖乡小学吉木萨尔县义务段学校2024年下半年免除家庭经济困难及寄宿制学生课后服务费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课后托管服务费的经费使用与服务供给，为学生提供优质、多元的课后托管服务费，解决家长接送难题，助力学生学业巩固与全面发展，同时建立科学的课后托管服务管理机制，提升学校教育服务品质与社会满意度。使学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3.09万元，资金执行率为100%，本项目实际完成资金支付3.09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参加课后托管学生人数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课后托管补助资金合理，为课后服务提供了坚实资金支持，助力解决家长接送难题。提升学校课后服务质量。</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庆阳湖乡小学昌州财教[2024]100号关于提前下达2025年教育补助项目经费预算的通知（自治区义务教育阶段班主任津贴补贴）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建立科学的班主任津贴绩效体系，充分调动班主任工作主动性和创造性，提升班级管理规范化水平，促进学生行为习惯、学业成绩及综合素质提升，打造一支责任心强、业务能力突出的班主任队伍，我校义务教育阶段共3个班级，每班每月班主任津贴补助400元，补助周期10个月，为学校教育教学质量奠定基础，使教师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0.60万元，资金执行率为100%，本项目实际完成资金支付0.60万元。通过本项目的实施，加强了班主任队伍专业化建设，健全了班级管理激励与保障机制，强化了学校德育工作与班级日常管理力度，提升了班主任工作积极性、责任心与班级管理效能，保障了班主任劳动权益，激发了育人工作热情，促进了学校德育工作扎实开展、学生良好行为习惯养成与校园和谐稳定，推动了学校教育教学管理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逐步提高班主任工作积极性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此项指标超额完成，存在偏差，偏差率为-5.26%，偏差原因：指标值设置过低，下下一年度改进措施：按实际情况设置指标值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庆阳湖乡小学昌州财教[2024]92号关于提前下达2025年中央城乡义务教育补助经费预算的通知（小学公用经费）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小学经费，保障教育教学活动正常开展，改善办学条件，提升教师专业能力与学生综合素养，助力义务教育阶段学校优质均衡发展。我校在校学生人数52人，公用经费补助标准720元/生，取暖费补助标准170元/生，寄宿生补助标准300元/生，中央补助资金4.72万元、自治区补助资金0.66万元，总计补助金额5.38万元。使教师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5.38万元，资金执行率为100%，本项目实际完成资金支付5.38万元。通过本项目的实施，加强了学校办学条件保障与日常运转支撑，完善了教育教学经费保障机制，提升了学校教育教学服务能力、办学水平与经费使用效益，改善了校园环境与教学实施条件，促进了义务教育均衡发展，保障了学校各项工作正常开展，助力教育教学质量稳步提升，切实落实义务教育经费保障政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小学寄宿生公用经费补助标准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学生身心健康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此项指标超额完成，存在偏差，偏差率为-3.16%，偏差原因：指标值设置过低，下一年度改进措施：按实际情况设置指标值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此项指标超额完成，存在偏差，偏差率为-3.16%，偏差原因：指标值设置过低，下一年度改进措施：按实际情况设置指标值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庆阳湖乡小学昌州财教[2024]92号关于提前下达2025年中央城乡义务教育补助经费预算的通知（小学家庭经济困难学生生活补助）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做好家庭经济困难学生认定和生活补助发放工作，提高资助的精准度。我校寄宿生人数25人，补助标准1250元/人，非寄宿生人数25人，补助标准625元/人，使家庭经济困难学生安心完成学业。家庭经济困难学生补助资金中央直达资金2.44万元。使学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2.44万元，资金执行率为100%，本项目实际完成资金支付2.44万元。通过本项目的实施，加强了教育民生保障力度，健全了家庭经济困难学生资助管理体系，提升了贫困学生资助精准度与资金使用效益，完善了助学服务机制，促进了贫困学生身心健康与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项目存在偏差，偏差率为4%，主要原因为年初寄宿生26人，年初设定目标值有误差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项目存在偏差，偏差率为4%，主要原因为年初非寄宿生26人，年初设定目标值有误差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保障家庭经济困难学生安心完成学业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此项指标超额完成，存在偏差，偏差率为-1.05%，偏差原因：指标值设置过低，下一年度改进措施：按实际情况设置指标值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庆阳湖乡小学昌州财教[2025]5号关于下达2025年昌吉州教育项目州本级配套资金的通知（教师体检补助）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对我校35名教职员工开展健康体检，有效改善我校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1.75万元，资金执行率100%，本项目实际完成资金支付1.75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此项指标超额完成，存在偏差，偏差率为5.26%，偏差原因：指标值设置过低，下下一年度改进措施：按实际情况设置指标值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