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吉木萨尔县市场监督管理局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（1）负责县市场综合监督管理和知识产权管理。</w:t>
      </w:r>
    </w:p>
    <w:p>
      <w:pPr>
        <w:spacing w:line="580" w:lineRule="exact"/>
        <w:ind w:firstLine="640"/>
        <w:jc w:val="both"/>
      </w:pPr>
      <w:r>
        <w:rPr>
          <w:rFonts w:ascii="仿宋_GB2312" w:hAnsi="仿宋_GB2312" w:eastAsia="仿宋_GB2312"/>
          <w:sz w:val="32"/>
        </w:rPr>
        <w:t>（2）负责县市场主体统一登记注册。</w:t>
      </w:r>
    </w:p>
    <w:p>
      <w:pPr>
        <w:spacing w:line="580" w:lineRule="exact"/>
        <w:ind w:firstLine="640"/>
        <w:jc w:val="both"/>
      </w:pPr>
      <w:r>
        <w:rPr>
          <w:rFonts w:ascii="仿宋_GB2312" w:hAnsi="仿宋_GB2312" w:eastAsia="仿宋_GB2312"/>
          <w:sz w:val="32"/>
        </w:rPr>
        <w:t>（3）负责县市场监督和知识产权综合执法工作。</w:t>
      </w:r>
    </w:p>
    <w:p>
      <w:pPr>
        <w:spacing w:line="580" w:lineRule="exact"/>
        <w:ind w:firstLine="640"/>
        <w:jc w:val="both"/>
      </w:pPr>
      <w:r>
        <w:rPr>
          <w:rFonts w:ascii="仿宋_GB2312" w:hAnsi="仿宋_GB2312" w:eastAsia="仿宋_GB2312"/>
          <w:sz w:val="32"/>
        </w:rPr>
        <w:t>（4）配合上级部门开展反垄断统一执法。</w:t>
      </w:r>
    </w:p>
    <w:p>
      <w:pPr>
        <w:spacing w:line="580" w:lineRule="exact"/>
        <w:ind w:firstLine="640"/>
        <w:jc w:val="both"/>
      </w:pPr>
      <w:r>
        <w:rPr>
          <w:rFonts w:ascii="仿宋_GB2312" w:hAnsi="仿宋_GB2312" w:eastAsia="仿宋_GB2312"/>
          <w:sz w:val="32"/>
        </w:rPr>
        <w:t>（5）负责县集贸市场和个体工商户安全生产管理。</w:t>
      </w:r>
    </w:p>
    <w:p>
      <w:pPr>
        <w:spacing w:line="580" w:lineRule="exact"/>
        <w:ind w:firstLine="640"/>
        <w:jc w:val="both"/>
      </w:pPr>
      <w:r>
        <w:rPr>
          <w:rFonts w:ascii="仿宋_GB2312" w:hAnsi="仿宋_GB2312" w:eastAsia="仿宋_GB2312"/>
          <w:sz w:val="32"/>
        </w:rPr>
        <w:t>（6）负责宏观质量管理。</w:t>
      </w:r>
    </w:p>
    <w:p>
      <w:pPr>
        <w:spacing w:line="580" w:lineRule="exact"/>
        <w:ind w:firstLine="640"/>
        <w:jc w:val="both"/>
      </w:pPr>
      <w:r>
        <w:rPr>
          <w:rFonts w:ascii="仿宋_GB2312" w:hAnsi="仿宋_GB2312" w:eastAsia="仿宋_GB2312"/>
          <w:sz w:val="32"/>
        </w:rPr>
        <w:t>（7）负责产品质量安全监督管理。</w:t>
      </w:r>
    </w:p>
    <w:p>
      <w:pPr>
        <w:spacing w:line="580" w:lineRule="exact"/>
        <w:ind w:firstLine="640"/>
        <w:jc w:val="both"/>
      </w:pPr>
      <w:r>
        <w:rPr>
          <w:rFonts w:ascii="仿宋_GB2312" w:hAnsi="仿宋_GB2312" w:eastAsia="仿宋_GB2312"/>
          <w:sz w:val="32"/>
        </w:rPr>
        <w:t>（8）负责特种设备安全监督管理。</w:t>
      </w:r>
    </w:p>
    <w:p>
      <w:pPr>
        <w:spacing w:line="580" w:lineRule="exact"/>
        <w:ind w:firstLine="640"/>
        <w:jc w:val="both"/>
      </w:pPr>
      <w:r>
        <w:rPr>
          <w:rFonts w:ascii="仿宋_GB2312" w:hAnsi="仿宋_GB2312" w:eastAsia="仿宋_GB2312"/>
          <w:sz w:val="32"/>
        </w:rPr>
        <w:t>（9）负责食品安全监督管理综合协调。</w:t>
      </w:r>
    </w:p>
    <w:p>
      <w:pPr>
        <w:spacing w:line="580" w:lineRule="exact"/>
        <w:ind w:firstLine="640"/>
        <w:jc w:val="both"/>
      </w:pPr>
      <w:r>
        <w:rPr>
          <w:rFonts w:ascii="仿宋_GB2312" w:hAnsi="仿宋_GB2312" w:eastAsia="仿宋_GB2312"/>
          <w:sz w:val="32"/>
        </w:rPr>
        <w:t>（10）负责食品安全监督管理。</w:t>
      </w:r>
    </w:p>
    <w:p>
      <w:pPr>
        <w:spacing w:line="580" w:lineRule="exact"/>
        <w:ind w:firstLine="640"/>
        <w:jc w:val="both"/>
      </w:pPr>
      <w:r>
        <w:rPr>
          <w:rFonts w:ascii="仿宋_GB2312" w:hAnsi="仿宋_GB2312" w:eastAsia="仿宋_GB2312"/>
          <w:sz w:val="32"/>
        </w:rPr>
        <w:t>（11）负责统一管理计量工作。</w:t>
      </w:r>
    </w:p>
    <w:p>
      <w:pPr>
        <w:spacing w:line="580" w:lineRule="exact"/>
        <w:ind w:firstLine="640"/>
        <w:jc w:val="both"/>
      </w:pPr>
      <w:r>
        <w:rPr>
          <w:rFonts w:ascii="仿宋_GB2312" w:hAnsi="仿宋_GB2312" w:eastAsia="仿宋_GB2312"/>
          <w:sz w:val="32"/>
        </w:rPr>
        <w:t>（12）负责统一管理标准化工作。</w:t>
      </w:r>
    </w:p>
    <w:p>
      <w:pPr>
        <w:spacing w:line="580" w:lineRule="exact"/>
        <w:ind w:firstLine="640"/>
        <w:jc w:val="both"/>
      </w:pPr>
      <w:r>
        <w:rPr>
          <w:rFonts w:ascii="仿宋_GB2312" w:hAnsi="仿宋_GB2312" w:eastAsia="仿宋_GB2312"/>
          <w:sz w:val="32"/>
        </w:rPr>
        <w:t>（13）负责统一管理检验检测工作。</w:t>
      </w:r>
    </w:p>
    <w:p>
      <w:pPr>
        <w:spacing w:line="580" w:lineRule="exact"/>
        <w:ind w:firstLine="640"/>
        <w:jc w:val="both"/>
      </w:pPr>
      <w:r>
        <w:rPr>
          <w:rFonts w:ascii="仿宋_GB2312" w:hAnsi="仿宋_GB2312" w:eastAsia="仿宋_GB2312"/>
          <w:sz w:val="32"/>
        </w:rPr>
        <w:t>（14）负责统一管理认证认可工作。</w:t>
      </w:r>
    </w:p>
    <w:p>
      <w:pPr>
        <w:spacing w:line="580" w:lineRule="exact"/>
        <w:ind w:firstLine="640"/>
        <w:jc w:val="both"/>
      </w:pPr>
      <w:r>
        <w:rPr>
          <w:rFonts w:ascii="仿宋_GB2312" w:hAnsi="仿宋_GB2312" w:eastAsia="仿宋_GB2312"/>
          <w:sz w:val="32"/>
        </w:rPr>
        <w:t>（15）负责促进知识产权运用。</w:t>
      </w:r>
    </w:p>
    <w:p>
      <w:pPr>
        <w:spacing w:line="580" w:lineRule="exact"/>
        <w:ind w:firstLine="640"/>
        <w:jc w:val="both"/>
      </w:pPr>
      <w:r>
        <w:rPr>
          <w:rFonts w:ascii="仿宋_GB2312" w:hAnsi="仿宋_GB2312" w:eastAsia="仿宋_GB2312"/>
          <w:sz w:val="32"/>
        </w:rPr>
        <w:t>（16）负责保护知识产权。</w:t>
      </w:r>
    </w:p>
    <w:p>
      <w:pPr>
        <w:spacing w:line="580" w:lineRule="exact"/>
        <w:ind w:firstLine="640"/>
        <w:jc w:val="both"/>
      </w:pPr>
      <w:r>
        <w:rPr>
          <w:rFonts w:ascii="仿宋_GB2312" w:hAnsi="仿宋_GB2312" w:eastAsia="仿宋_GB2312"/>
          <w:sz w:val="32"/>
        </w:rPr>
        <w:t>（17）负责药品、医疗器械和化妆品安全监督管理。</w:t>
      </w:r>
    </w:p>
    <w:p>
      <w:pPr>
        <w:spacing w:line="580" w:lineRule="exact"/>
        <w:ind w:firstLine="640"/>
        <w:jc w:val="both"/>
      </w:pPr>
      <w:r>
        <w:rPr>
          <w:rFonts w:ascii="仿宋_GB2312" w:hAnsi="仿宋_GB2312" w:eastAsia="仿宋_GB2312"/>
          <w:sz w:val="32"/>
        </w:rPr>
        <w:t>（18）负责药品、化妆品不良反应和医疗器械不良事件监测工作。</w:t>
      </w:r>
    </w:p>
    <w:p>
      <w:pPr>
        <w:spacing w:line="580" w:lineRule="exact"/>
        <w:ind w:firstLine="640"/>
        <w:jc w:val="both"/>
      </w:pPr>
      <w:r>
        <w:rPr>
          <w:rFonts w:ascii="仿宋_GB2312" w:hAnsi="仿宋_GB2312" w:eastAsia="仿宋_GB2312"/>
          <w:sz w:val="32"/>
        </w:rPr>
        <w:t>（19）负责本部门科技与信息化建设、新闻宣传。</w:t>
      </w:r>
    </w:p>
    <w:p>
      <w:pPr>
        <w:spacing w:line="580" w:lineRule="exact"/>
        <w:ind w:firstLine="640"/>
        <w:jc w:val="both"/>
      </w:pPr>
      <w:r>
        <w:rPr>
          <w:rFonts w:ascii="仿宋_GB2312" w:hAnsi="仿宋_GB2312" w:eastAsia="仿宋_GB2312"/>
          <w:sz w:val="32"/>
        </w:rPr>
        <w:t>（20）承担县食品安全委员会的具体工作。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吉木萨尔县市场监督管理局无下属预算单位。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2025年度收入总计1,772.46万元，</w:t>
      </w:r>
      <w:r>
        <w:rPr>
          <w:rFonts w:ascii="仿宋_GB2312" w:hAnsi="仿宋_GB2312" w:eastAsia="仿宋_GB2312"/>
          <w:b w:val="0"/>
          <w:sz w:val="32"/>
        </w:rPr>
        <w:t>其中：本年收入合计1,738.21万元，使用非财政拨款结余（含专用结余）0.00万元，年初结转和结余34.26万元。</w:t>
      </w:r>
    </w:p>
    <w:p>
      <w:pPr>
        <w:spacing w:line="580" w:lineRule="exact"/>
        <w:ind w:firstLine="640"/>
        <w:jc w:val="both"/>
      </w:pPr>
      <w:r>
        <w:rPr>
          <w:rFonts w:ascii="仿宋_GB2312" w:hAnsi="仿宋_GB2312" w:eastAsia="仿宋_GB2312"/>
          <w:b/>
          <w:sz w:val="32"/>
        </w:rPr>
        <w:t>2025年度支出总计1,772.46万元，</w:t>
      </w:r>
      <w:r>
        <w:rPr>
          <w:rFonts w:ascii="仿宋_GB2312" w:hAnsi="仿宋_GB2312" w:eastAsia="仿宋_GB2312"/>
          <w:b w:val="0"/>
          <w:sz w:val="32"/>
        </w:rPr>
        <w:t>其中：本年支出合计1,733.19万元，结余分配0.00万元，年末结转和结余39.27万元。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增加152.64万元，增长9.42%，主要原因是：本年在职人员增加，在职人员工资调增、社保、公积金基数调增，人员经费增加。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本年收入1,738.21万元，</w:t>
      </w:r>
      <w:r>
        <w:rPr>
          <w:rFonts w:ascii="仿宋_GB2312" w:hAnsi="仿宋_GB2312" w:eastAsia="仿宋_GB2312"/>
          <w:b w:val="0"/>
          <w:sz w:val="32"/>
        </w:rPr>
        <w:t>其中：财政拨款收入1,732.17万元，占99.65%；上级补助收入0.00万元，占0.00%；事业收入0.00万元，占0.00%；经营收入0.00万元，占0.00%；附属单位上缴收入0.00万元，占0.00%；其他收入6.04万元，占0.35%。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本年支出1,733.19万元，</w:t>
      </w:r>
      <w:r>
        <w:rPr>
          <w:rFonts w:ascii="仿宋_GB2312" w:hAnsi="仿宋_GB2312" w:eastAsia="仿宋_GB2312"/>
          <w:b w:val="0"/>
          <w:sz w:val="32"/>
        </w:rPr>
        <w:t>其中：基本支出1,660.46万元，占95.80%；项目支出72.73万元，占4.20%；上缴上级支出0.00万元，占0.00%；经营支出0.00万元，占0.00%；对附属单位补助支出0.00万元，占0.00%。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2025年度财政拨款收入总计1,732.17万元，</w:t>
      </w:r>
      <w:r>
        <w:rPr>
          <w:rFonts w:ascii="仿宋_GB2312" w:hAnsi="仿宋_GB2312" w:eastAsia="仿宋_GB2312"/>
          <w:b w:val="0"/>
          <w:sz w:val="32"/>
        </w:rPr>
        <w:t>其中：年初财政拨款结转和结余0.00万元，本年财政拨款收入1,732.17万元。</w:t>
      </w:r>
      <w:r>
        <w:rPr>
          <w:rFonts w:ascii="仿宋_GB2312" w:hAnsi="仿宋_GB2312" w:eastAsia="仿宋_GB2312"/>
          <w:b/>
          <w:sz w:val="32"/>
        </w:rPr>
        <w:t>财政拨款支出总计1,732.17万元，</w:t>
      </w:r>
      <w:r>
        <w:rPr>
          <w:rFonts w:ascii="仿宋_GB2312" w:hAnsi="仿宋_GB2312" w:eastAsia="仿宋_GB2312"/>
          <w:b w:val="0"/>
          <w:sz w:val="32"/>
        </w:rPr>
        <w:t>其中：年末财政拨款结转和结余0.00万元，本年财政拨款支出1,732.17万元。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增加149.47万元，增长9.44%，主要原因是：本年在职人员增加，在职人员工资调增、社保、公积金基数调增，人员经费增加。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1,485.24万元，决算数1,732.17万元，预决算差异率16.63%，主要原因是：本年在职人员增加，年中追加人员经费及人员工资、社保、公积金基数调增部分资金，年中追加市监局2025年政府预算综合行政执法制式服装和标识资金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工业产品质量安全、食品安全监督管理、两品一械安全监督管理、知识产权、计量器具检定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市场监督管理事务（款）行政运行（项）的支出占本年财政拨款支出总额的比重最高，2025年度决算数为719.04万元，占比41.51%，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2025年度一般公共预算财政拨款支出1,732.17万元，</w:t>
      </w:r>
      <w:r>
        <w:rPr>
          <w:rFonts w:ascii="仿宋_GB2312" w:hAnsi="仿宋_GB2312" w:eastAsia="仿宋_GB2312"/>
          <w:b w:val="0"/>
          <w:sz w:val="32"/>
        </w:rPr>
        <w:t>占本年支出合计的99.94%。</w:t>
      </w:r>
      <w:r>
        <w:rPr>
          <w:rFonts w:ascii="仿宋_GB2312" w:hAnsi="仿宋_GB2312" w:eastAsia="仿宋_GB2312"/>
          <w:b/>
          <w:sz w:val="32"/>
        </w:rPr>
        <w:t>与上年相比，</w:t>
      </w:r>
      <w:r>
        <w:rPr>
          <w:rFonts w:ascii="仿宋_GB2312" w:hAnsi="仿宋_GB2312" w:eastAsia="仿宋_GB2312"/>
          <w:b w:val="0"/>
          <w:sz w:val="32"/>
        </w:rPr>
        <w:t>增加149.47万元，增长9.44%，主要原因是：本年在职人员增加，在职人员工资调增、社保、公积金基数调增，人员经费增加。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1,485.24万元，决算数1,732.17万元，预决算差异率16.63%，主要原因是：本年在职人员增加，年中追加人员经费及人员工资、社保、公积金基数调增部分资金，年中追加市监局2025年政府预算综合行政执法制式服装和标识资金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1.一般公共服务支出（类）1,200.12万元，占69.28%。</w:t>
      </w:r>
    </w:p>
    <w:p>
      <w:pPr>
        <w:spacing w:line="580" w:lineRule="exact"/>
        <w:ind w:firstLine="640"/>
        <w:jc w:val="both"/>
      </w:pPr>
      <w:r>
        <w:rPr>
          <w:rFonts w:ascii="仿宋_GB2312" w:hAnsi="仿宋_GB2312" w:eastAsia="仿宋_GB2312"/>
          <w:b w:val="0"/>
          <w:sz w:val="32"/>
        </w:rPr>
        <w:t>2.社会保障和就业支出（类）326.59万元，占18.85%。</w:t>
      </w:r>
    </w:p>
    <w:p>
      <w:pPr>
        <w:spacing w:line="580" w:lineRule="exact"/>
        <w:ind w:firstLine="640"/>
        <w:jc w:val="both"/>
      </w:pPr>
      <w:r>
        <w:rPr>
          <w:rFonts w:ascii="仿宋_GB2312" w:hAnsi="仿宋_GB2312" w:eastAsia="仿宋_GB2312"/>
          <w:b w:val="0"/>
          <w:sz w:val="32"/>
        </w:rPr>
        <w:t>3.卫生健康支出（类）104.17万元，占6.01%。</w:t>
      </w:r>
    </w:p>
    <w:p>
      <w:pPr>
        <w:spacing w:line="580" w:lineRule="exact"/>
        <w:ind w:firstLine="640"/>
        <w:jc w:val="both"/>
      </w:pPr>
      <w:r>
        <w:rPr>
          <w:rFonts w:ascii="仿宋_GB2312" w:hAnsi="仿宋_GB2312" w:eastAsia="仿宋_GB2312"/>
          <w:b w:val="0"/>
          <w:sz w:val="32"/>
        </w:rPr>
        <w:t>4.住房保障支出（类）101.29万元，占5.85%。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市场监督管理事务（款）行政运行（项）：支出决算数为719.04万元，比上年决算减少53.08万元，下降6.87%，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市场监督管理事务（款）药品事务（项）：支出决算数为3.00万元，比上年决算减少4.40万元，下降59.46%，主要原因是：上年支出包括2023年、2024年两年的药品抽检经费，本年只支出当年的药检经费，故比上年下降。</w:t>
      </w:r>
    </w:p>
    <w:p>
      <w:pPr>
        <w:spacing w:line="580" w:lineRule="exact"/>
        <w:ind w:firstLine="640"/>
        <w:jc w:val="both"/>
      </w:pPr>
      <w:r>
        <w:rPr>
          <w:rFonts w:ascii="仿宋_GB2312" w:hAnsi="仿宋_GB2312" w:eastAsia="仿宋_GB2312"/>
          <w:b w:val="0"/>
          <w:sz w:val="32"/>
        </w:rPr>
        <w:t>3.一般公共服务支出（类）市场监督管理事务（款）事业运行（项）：支出决算数为408.34万元，比上年决算增加58.74万元，增长16.80%，主要原因是：本年新增在职人员，人员经费增加，导致经费较上年有所增加。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4.一般公共服务支出（类）市场监督管理事务（款）其他市场监督管理事务（项）：支出决算数为69.73万元，比上年决算增加21.33万元，增长44.07%，主要原因是：本年年中追加了综合行政执法制式服装和标识项目资金，同时以前年度部分公用经费在本年度调整至项目经费，导致支出增加。</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0.00万元，比上年决算减少10.76万元，下降100.00%，主要原因是：上年安排了此科目的AK替代工作经费支出，本年未安排此科目支出，导致经费较上年下降。</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59.71万元，比上年决算增加15.79万元，增长35.95%，主要原因是：本年退休人员增加，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125.32万元，比上年决算增加7.65万元，增长6.50%，主要原因是：本年在职人员增加，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141.56万元，比上年决算增加65.86万元，增长87.00%，主要原因是：本年在职人员增加，工资基数调增，职业年金缴费基数上涨，同时本年还有退休、死亡人员职业年金做实，相应支出增加。</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43.03万元，比上年决算增加12.14万元，增长39.30%，主要原因是：本年行政在职人员增加，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29.71万元，比上年决算增加1.37万元，增长4.83%，主要原因是：本年事业在职人员增加，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31.43万元，比上年决算增加27.35万元，增长670.34%，主要原因是：本年在职人员增加，工资基数调增，公务员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101.29万元，比上年决算增加7.49万元，增长7.99%，主要原因是：本年在职人员增加，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2025年度一般公共预算财政拨款基本支出1,659.44万元，其中：</w:t>
      </w:r>
      <w:r>
        <w:rPr>
          <w:rFonts w:ascii="仿宋_GB2312" w:hAnsi="仿宋_GB2312" w:eastAsia="仿宋_GB2312"/>
          <w:b/>
          <w:sz w:val="32"/>
        </w:rPr>
        <w:t>人员经费1,533.99万元，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公用经费125.44万元，</w:t>
      </w:r>
      <w:r>
        <w:rPr>
          <w:rFonts w:ascii="仿宋_GB2312" w:hAnsi="仿宋_GB2312" w:eastAsia="仿宋_GB2312"/>
          <w:b w:val="0"/>
          <w:sz w:val="32"/>
        </w:rPr>
        <w:t>包括：办公费、印刷费、水费、电费、邮电费、取暖费、差旅费、维修（护）费、租赁费、公务接待费、专用燃料费、委托业务费、工会经费、公务用车运行维护费、其他交通费用、其他商品和服务支出。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2025年度财政拨款“三公”经费支出8.08万元，</w:t>
      </w:r>
      <w:r>
        <w:rPr>
          <w:rFonts w:ascii="仿宋_GB2312" w:hAnsi="仿宋_GB2312" w:eastAsia="仿宋_GB2312"/>
          <w:b w:val="0"/>
          <w:sz w:val="32"/>
        </w:rPr>
        <w:t>比上年减少14.62万元，下降64.41%，主要原因是：本年将一般公务用车和执法车辆区分核算，“三公”经费中仅列支一般公务用车支出，故较上年减少。</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8.00万元，占99.01%，比上年减少14.70万元，下降64.76%，主要原因是：本年将一般公务用车和执法车辆区分核算，公务用车购置及运行维护费中仅列支一般公务用车支出，故较上年减少。</w:t>
      </w:r>
      <w:r>
        <w:rPr>
          <w:rFonts w:ascii="仿宋_GB2312" w:hAnsi="仿宋_GB2312" w:eastAsia="仿宋_GB2312"/>
          <w:b w:val="0"/>
          <w:sz w:val="32"/>
        </w:rPr>
        <w:t>公务接待费支出0.08万元，占0.99%，比上年增加0.08万元，增长100.00%，主要原因是：本年因业务需求，增加公务接待工作，导致公务接待费较上年增加。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8.00万元，其中：公务用车购置费0.00万元，公务用车运行维护费8.00万元。公务用车运行维护费开支内容包括一般公务用车的燃油费、过路费、车辆保险费、车辆维修费等。公务用车购置数0辆，公务用车保有量10辆。国有资产占用情况中固定资产车辆10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公务接待费0.08万元，开支内容包括因接待上级领导检查产生的就餐费。单位全年安排的国内公务接待1批次，11人次。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8.08万元，决算数8.08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8.00万元，决算数8.00万元，预决算差异率0.00%，主要原因是：严格按照预算执行，预决算无差异。公务接待费全年预算数0.08万元，决算数0.08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市场监督管理局（行政单位和参照公务员法管理事业单位）机关运行经费支出125.44万元，比上年减少72.33万元，下降36.57%，主要原因是：本年度将上年度公用经费中的专项业务经费，调整至其他市场监督管理事务中列支，导致机关运行经费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2025年度政府采购支出总额8.87万元，其中：政府采购货物支出0.63万元、政府采购工程支出0.00万元、政府采购服务支出8.24万元。</w:t>
      </w:r>
    </w:p>
    <w:p>
      <w:pPr>
        <w:spacing w:line="580" w:lineRule="exact"/>
        <w:ind w:firstLine="640"/>
        <w:jc w:val="both"/>
      </w:pPr>
      <w:r>
        <w:rPr>
          <w:rFonts w:ascii="仿宋_GB2312" w:hAnsi="仿宋_GB2312" w:eastAsia="仿宋_GB2312"/>
          <w:b w:val="0"/>
          <w:sz w:val="32"/>
        </w:rPr>
        <w:t>授予中小企业合同金额5.32万元，占政府采购支出总额的59.98%，其中：授予小微企业合同金额5.32万元，占政府采购支出总额的59.98%。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12,205.00平方米，价值1,697.03万元。车辆10辆，价值204.55万元，其中：副部（省）级及以上领导用车0辆、主要负责人用车0辆、机要通信用车0辆、应急保障用车0辆、执法执勤用车7辆、特种专业技术用车1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1,772.46万元，实际执行总额1,733.19万元；预算绩效评价项目6个，全年预算数69.12万元，全年执行数68.90万元。预算绩效管理取得的成效：一是执法效能提升。进一步提高了市场监管能力和水平；二是绩效理念深化。通过预算绩效管理，对“花钱必问效、无效必问责”的理念认识更深刻，绩效目标设定与实际工作的契合度显著提升；三是公众监督强化。决算公开中同步披露的绩效指标，让社会公众更清晰了解财政资金使用效果，形成外部监督压力，推动单位改进工作。发现的问题及原因：一是思想认识不到位。存在“重预算、轻绩效”的倾向，认为绩效评价是“额外工作”，对决算公开中绩效信息的重要性重视不足；二是专业能力不足。单位缺乏专业的绩效管理人员，对绩效指标设计、评价方法运用不熟练，导致绩效信息质量不高。下一步改进措施：一是强化绩效目标管理。在年初设定绩效目标时，必须与决算公开的指标对应，明确量化标准，确保目标可衡量、可追溯；二是加强绩效业务学习及培训。通过专业培训、学习考察、业务交流等措施，帮助和促进本单位现有人员提高绩效管理业务水平、实际工作能力。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吉木萨尔县市场监督管理局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1,482.24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1,765.71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1,726.44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3,170.08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3,544.92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3,466.38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3,170.08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3,544.92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3,466.38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压实企业主体责任，提升产品质量安全。在食品生产环节方面，针对辖区食品生产企业是否按照要求落实食品安全主体责任，落实进货查验制度及出厂检验，开展进货查验和出厂检验专项整治。进一步督促食品生产企业落实食品安全主体责任，加强食品安全管理人员的培训考核，提升食品质量安全管理能力和水平，持续优化“你点我检”系列活动，2025年开展食品安全监督抽检批次不少于250批次，确保人民群众“舌尖上的安全”；
2.持续开展专项检查，筑牢食品安全防线。一是充分发挥食安办牵头抓总作用。二是聚焦重点节点，做好日常检查和专项整治相结合，坚决守好药品安全底线。加强对“两品一械”市场经营主体的相关业务知识培训和法律法规宣传以及日常监督检查，“两品一械”不良反应检测率达到100%，确保广大群众用药用械用妆安全；
3.认真贯彻执行吉木萨尔县“安全生产治本攻坚三年行动方案”安排部署，持续针对特种设备领域重点行业单位和时段全面排查整治，杜绝各类安全风险和事故隐患发生。加强特种设备日常监督检查，确保特种设备定期检验率达98%；
4.以信用监管为核心，维护消费者权益保护。加强市场监管，维护市场良好秩序。“双随机、一公开”工作提前完成。履职尽责，维护消费合法权益，加强广告监测力度。确保12315投诉办结率不低于95%。</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1772.46万元，实际支出1733.19万元，预算执行率97.78%，我单位按照坚持“讲政治、强监管、促发展、保安全”工作总思路，充分发挥失常监管职能，在服务经济社会发展大局中体现了新担当，在市场监管实践中展现了新作为，各项工作取得新成绩新突破，2025年完成食品及相关产品安全监督抽检批次272批次，特种设备定期检验率99.54%，食品抽检核查处置率达100%，12315投诉办结率100%，“两品一械”不良反应监测率100%，登记注册电子化率100%，食品安全管理人员培训考核合格率100%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食品安全监督抽检批次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&gt;=250批次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吉木萨尔县市场监督管理局2024年工作总结及2025年工作计划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=272批次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特种设备定期检验率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吉木萨尔县市场监督管理局2024年工作总结及2025年工作计划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=99.54%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食品抽检核查处置率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吉木萨尔县市场监督管理局2024年工作总结及2025年工作计划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监督检查覆盖率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吉木萨尔县市场监督管理局2024年工作总结及2025年工作计划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12315投诉办结率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吉木萨尔县市场监督管理局2024年工作总结及2025年工作计划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“两品一械”不良反应检测率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吉木萨尔县市场监督管理局2024年工作总结及2025年工作计划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登记注册电子化率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吉木萨尔县市场监督管理局2024年工作总结及2025年工作计划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食品安全管理人员的培训考核合格率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吉木萨尔县市场监督管理局2024年工作总结及2025年工作计划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2025年自治区药品抽检经费预算</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对药品、医疗器械以及化妆品监督抽检安排，以提高药品、医疗器械、化妆品安全水平为核心，坚持问题导向、重点突出、监检结合和三级联动原则，进一步做好药品、医疗器械和化妆品抽检工作，统一调度抽检任务，统一规范程序标准，统一数据分析利用，有效发挥抽检工作的风险防控和技术支撑作用，努力提高监管能力和监管水平，以“四个最严”的要求保障药品安全，坚决守住全区不发生重大药品安全事故底线，解决筑牢药品安全底线，保障人民群众用药安全。药品监督抽检安排批次16批次，医疗器械监督抽检安排批次2批次，化妆品监督抽检安排批次2批次。主要用于“两品一械”抽检工作1万元，监管人员差旅及培训费0.6万元，抽检样品邮寄及购买费0.83万元，宣传品制作0.57万元。公众对药品监管满意度不低于85%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万元，资金执行率100%，本项目实际完成药品抽检任务24批次，医疗器械2批次，化妆品4批次。通过本项目的实施，全县本年度未发生重大药品安全事故，筑牢了药品安全底线，保障了全县人民群众用药安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药品监督抽检安排批次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50%，偏差原因为：年初设定指标时国家、区、州抽检任务均未下达，为保证项目产出的底线思维，设置的指标过于保守，导致存在偏差；下一年度改进措施：结合历年抽检任务，将指标进行上调，使得完成值更为精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医疗器械监督抽检安排批次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化妆品监督抽检安排批次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年初设定指标时没有充分考虑自主抽检批次，仅根据历年任务要求将区、州抽检批次列入目标值中，故与实际完成值产生偏差；下一年度改进措施：在编制下一年度绩效目标时，充分考虑自主抽检批次等因素，使得完成值更为精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药品经营企业监督检查覆盖率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药品经营企业监督检查完成率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2024年11月30日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“两品一械”抽检工作经费支出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65%，偏差原因为：年初设定指标时编制预算过程中将“两品一械”抽检作为重点经费设置了≤1万元的目标值，未考虑后期加大了培训力度，进行资金调剂，更多经费用于药品相关培训中；下一年度改进措施：在编制下一年度绩效目标时，充分考虑抽检批次、出差培训等各项因素，使得完成值更为精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宣传品制作支出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抽检样品邮寄及购买费支出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&lt;=0.83万元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72.29%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27.71%，偏差原因为：年初设定指标时未充分考虑抽检的样品市场价波动因素，设置的指标偏大，导致存在偏差；下一年度改进措施：结合历年抽检需求及样品价格波动等因素，总结成功经验，在编制下一年度绩效目标时，设置指标更为贴合实际。</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监管人员差旅及培训费支出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246.66%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146.66%，偏差原因为：年初设定指标时根据上年度“两品一械”相关培训支出进行预算，未充分考虑本年度加大培训力度等因素，设置的指标过小，导致存在偏差；下一年度改进措施：结合历年培训次数以及指标完成情况，总结成功经验，在编制下一年度绩效目标时，设置指标时更为可靠量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“两品一械”总体安全水平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有效发挥抽检工作的风险防控和技术支撑作用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有效发挥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有效发挥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公众对药品监管满意度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17.64%，偏差原因为：我单位在前期设定满意度指标时，为确保项目产出的安全性和底线思维，设定了≥85%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75.04分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三台片区市场监督管理所新建水冲式厕所和维修食堂部分设施资金项目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计划完成三台片区市监所新建水冲式厕所1座，维修食堂部分设施。维修项目质量验收合格。新建水冲式厕所成本5.36万元。维修食堂成本3.76万元。通过项目的实施，使得维修项目正常使用，提升业务保障能力，使得办事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9.12万元，资金执行率100%，本项目实际完成三台片区市监所新建水冲式厕所1座，维修食堂部分设施。通过本项目的实施，使得三台片区市监所设施正常运转，提升了业务保障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新建水冲式厕所个数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维修乡镇市监所食堂个数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项目质量验收合格率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新建水冲式厕所成本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维修食堂成本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&lt;=3.76万元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维修项目利用率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提升业务保障能力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办事群众满意度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17.65%，偏差原因为：我单位在前期设定满意度指标时，未确保项目产出的安全性和底线思维，设定了≥85%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农资产品、煤质、药品、医疗器械、化妆品抽检、公平竞争、质量强县等工作经费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99.27%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农资产品、煤质、药品、医疗器械、化妆品抽检、公平竞争、质量强县等工作，项目总投资为30万元，项目计划于2025年12月完成。通过本项目的实施，可以及时发现和处理不合格商品，进一步提高市场监管水平，保障市场秩序和公共安全，提升全县人民群众健康指数，待项目实施完成，争取使监管对象满意度不低于85%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29.78万元，资金执行率99.27%。本项目实际完成各项抽检批次41批次，保障了涉案产品、自主抽检等相关产品抽检经费，“两品一械”、食品安全抽检等均按时完成了区、州下达的任务数，监管覆盖率达90%，全年未发生重大安全事故。通过本项目的实施，进一步提高了市场监管水平，提升了全县人民群众健康指数。</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抽检批次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310%，偏差原因为：我单位在前期设定数量指标时，为确保项目产出的安全性和底线思维，抽检批次设定了≥10批次的保守目标值，故与实际完成值产生偏差；下一年度改进措施：总结本次项目的成功经验，在编制下一年度绩效目标时，结合实际执行能力，充分考虑案件需要，适当上调抽检批次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药品监管对象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6.67%，偏差原因为：我单位在前期设定指标时，考虑本年度可能会有药品零售业停业等因素，将药品监管对象设定了≥60家的保守目标值，故与实际完成值产生偏差；下一年度改进措施：总结本次项目的成功经验，在编制下一年度绩效目标时，按照上年实际经营企业数量为准进行指标设定。</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化妆品监管对象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18.18%，偏差原因为：我单位在前期设定指标时，考虑本年度可能会有化妆品店停业等因素，将化妆品监管对象设定了≥55家的保守目标值，故与实际完成值产生偏差；下一年度改进措施：总结本次项目的成功经验，在编制下一年度绩效目标时，按照上年实际经营企业数量为准进行指标设定。</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医疗器械监管对象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18.82%，偏差原因为：我单位在前期设定指标时，未充分考虑本年度可能会有医疗器械行业监管对象停业较多等因素，将医疗器械监管对象设定了≥85家的保守目标值，故与实际完成值产生偏差；下一年度改进措施：总结本次项目的成功经验，在编制下一年度绩效目标时，按照上年实际经营企业数量为准进行指标设定。</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监管覆盖率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无重大安全事故发生次数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按时完成下达任务数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平均每批次价格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91.67%，偏差原因为：我单位在前期设定指标时，仅考虑了工业产品抽检费用合同较高，未结合其他产品检测成本较低的因素进行平均估值，故与实际完成值产生偏差；下一年度改进措施：总结本次项目的成功经验，在编制下一年度绩效目标时，了解市场价格，结合上年度抽检价格，精准预估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印刷费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差旅费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15.75%，偏差原因为：我单位在前期设定指标时，考虑执法能力提升培训班安排较多，目标值设置较高，但在后期药品相关培训较多，均选择从药品抽检经费支出，故与实际完成值产生偏差；下一年度改进措施：总结本次项目的成功经验，在编制下一年度绩效目标时，结合上年度培训情况，精准预估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业务委托费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104.74%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4.74%，偏差原因为：我单位在前期设定指标时，预算编制要将律师委托业务费从办公经费列支，后期一是办公经费严重不足，二是考虑案件需求律师顾问量大、公平竞争涉案事项较多选择从此项经费列支，故与实际完成值产生偏差；下一年度改进措施：总结本次项目的成功经验，在编制下一年度绩效目标时，结合上年度抽检情况等，精准预估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其他商品和服务支出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42%，偏差原因为：我单位在前期设定指标时，预算编制要预留部分机动经费，但在后期实际支出中，按工作开展情况进行了指标调剂，故与实际完成值产生偏差；下一年度改进措施：总结本次项目的成功经验，在编制下一年度绩效目标时，设定更可靠量化的指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提高市场监管水平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提升全县人民群众健康指数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监管对象满意度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81.16分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吉木萨尔县市场监督管理局食品安全监督抽检项目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食品安全监督抽检，抽检不少于250批次，项目计划经费为16万元，项目计划于2025年12月完成。通过本项目的实施，可对全县范围内食品方面进行常态化的安全抽样检测，可及时消除相关风险隐患，保障全县食品安全，提升全县人民群众健康指数，待项目实施完成，争取使受益人群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16万元，资金执行率100%，本项目实际完成272批次食品安全监督抽检。通过本项目的实施，对全县范围内食品方面进行了常态化的安全抽样检测，及时消除了相关风险隐患，保障了全县食品安全，进一步提升了全县群众健康指数。</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食品安全监督抽检批次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&gt;=250批次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=272批次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18.24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272批次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8.8%，偏差原因为：我单位按照上年度任务指标设定指标值，实际执行时在资金保障充足情况下视情况临时加抽批次，导致结果存在偏差。下一年度改进措施：在项目实施前，进行更充分的数据比对，避免目标设定过于保守，确保绩效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食品安全监督抽检合格率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5.22%，偏差原因为：每年度无法对食品抽检批次是否合格进行准确估量，导致数据存在偏差；下一年度改进措施，结合历年不合格批次抽检结果，进行数据对比，更为准确的估计本年度不合格批次，使目标值更贴合实际。</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按时完成下达任务数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无重大食品安全事故发生次数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抽样批次间隔时间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66.7%，偏差原因为：年初设定指标时认为只要实际完成值小于等于该值时即可，忽略了实际完成值与目标值的偏差，导致偏差率较大；下一年度改进措施，设置指标时按历年抽检计划时间表倒退实际完成值，使得完成值与目标值更为接近，缩小偏差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平均每批次价格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&lt;=640元/批次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=548元/批次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545元/批次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14.37%，偏差原因为：年初设定指标值时，为确保项目产出的安全性和底线思维，设定了640元/批次的保守目标值，故与实际完成值产生偏差；下一年度改进措施：总结本次项目的成功经验，在编制下一年度绩效目标时，结合历年实际，将目标值适当压缩，确保绩效目标的科学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保障群众健康安全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提高我县食品安全质量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97.93分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检定出租车计价器场地和设备使用经费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应群众所盼，方便群众办事，多方筹划，经县政府协调，由吉木萨尔县庭州农业发展投资集团有限公司出租场地，建立出租车计价器检定标准装置社会公用计量标准，吉木萨尔县公共检验检测中心负责技术检定，租用吉木萨尔县庭州农业发展投资集团有限公司场地及设备进行检定工作。出租车计价器设备和场地租赁费5万元/年。通过租用场地和设备，2025年完成吉木萨尔县出租车计价器检定不少于300台件。使得出租车司机满意度不低于85%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万元，资金执行率100%。本项目实际完成吉木萨尔县出租车计价器检定共309台件。通过本项目的实施，出租车计价器检定合格率达100%，有效降低了安全隐患、减少了出租车司机检定成本，受益群众满意度达100%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出租车计价器数量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&gt;=300台件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=309台件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309台件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偏差原因为：我单位在年初设定目标值时无法准确估量本年度是否有出租车停运等情况发生，估值时较为保守，故与实际值产生偏差；下一年度改进措施：总结本次项目成功经验，在编制下一年度绩效目标值时，按照上年度完成值估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出租车计价器检定合格率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我单位在年初设定目标值时为确保产出的安全性和底线思维，较为保守的设定了指标，故与实际值产生偏差；下一年度改进措施：总结本次项目成功经验，在编制下一年度绩效目标值时，按照上年度完成值估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检定工作开展月数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场地及设备租赁费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&lt;=5万元/每年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=5万元/每年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5万元/每年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降低出租车安全隐患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有效降低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有效降低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减少出租车司机检定成本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出租车司机满意度（%）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17.65%，偏差原因为：我单位在年初设定目标值时以2023年初设项目时考虑出租车司机意见较大等因素设置目标值，未充分考虑两年来项目进展带来的经济效益等，故与实际值产生偏差；下一年度改进措施：总结本次项目成功经验，在编制下一年度绩效目标值时，充分考量两年来满意度变化值进行目标设定。</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98.76分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综合行政执法制式服装和标识资金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吉木萨尔县市场监督管理局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推进规范文明执法，为加强综合行政执法制式服装和标志管理，推进规范文明执法，为单位执法人员配发综合行政执法制式服装和标识。按照实施办法，男士标准4116.6元，女士4105.8元，需配发男士6人，女士6人，项目计划支出6万元。使得执法人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万元，资金执行率100%，本项目实际完成男士8人、女士7人的综合行政执法制式服装和标识的配发。通过本项目的实施，倒逼着装规范、举止文明，推动队伍纪律作风建设，打造“铁军”形象，进一步规范文明执法水平，加强综合行政执法制式服装和标识的管理，提升了市监部门的权威。</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配发制式服装和标识人数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25%，偏差原因为：项目申报阶段以当时在编在岗执法人员12人为测算依据。项目实施期间，因人员调动等原因，实际在岗执法人员数量增加，导致实际配发人数超出原定计划；下一年度改进措施：在项目实施前，充分考虑可能发生事件，避免目标设定过于保守，确保绩效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制服着装统一率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制式服装和标识配发及时率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采购流程规范顺畅，供货保障有力。严格按照政府采购程序组织实施，供应商履约能力强，供货及时，为及时发放提供了坚实物资保障；下一年度改进措施：巩固高效采购与履约管理。加强与供应商沟通协作，完善供货、验收、质检联动机制，持续保障物资供应稳定、质量可靠、到货及时。</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男士制服及标识成本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&lt;=4116.60元/人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=4116.6元/人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4116.60元/人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女士制式服装及标识成本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&lt;=4105.80元/人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=4105.8元/人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4105.80元/人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文明执法水平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有效规范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有效规范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加强综合行政执法制式服装和标志管理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执法人员满意度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服装质量与做工符合预期，实用性强，统一制式服装和标识有效增强了执法人员职业归属感、荣誉感与责任感；下一年度改进措施：持续加强服装质量与适配性管理，强化着装规范管理与日常监督。</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94.00分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