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officeDocument/2006/relationships/extended-properties" Target="docProps/app.xml"/><Relationship Id="rId3" Type="http://schemas.openxmlformats.org/package/2006/relationships/metadata/core-properties" Target="docProps/core.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body>
    <w:p>
      <w:r/>
    </w:p>
    <w:p>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 xml:space="preserve">附件2：</w:t>
      </w: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华文中宋" w:eastAsia="华文中宋" w:hAnsi="华文中宋" w:cs="宋体"/>
          <w:b/>
          <w:kern w:val="0"/>
          <w:sz w:val="52"/>
          <w:szCs w:val="52"/>
        </w:rPr>
      </w:pPr>
    </w:p>
    <w:p>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 xml:space="preserve">项目支出绩效自评报告</w:t>
      </w:r>
    </w:p>
    <w:p>
      <w:pPr>
        <w:spacing w:line="540" w:lineRule="exact"/>
        <w:jc w:val="center"/>
        <w:rPr>
          <w:rFonts w:ascii="华文中宋" w:eastAsia="华文中宋" w:hAnsi="华文中宋" w:cs="宋体"/>
          <w:b/>
          <w:kern w:val="0"/>
          <w:sz w:val="52"/>
          <w:szCs w:val="52"/>
        </w:rPr>
      </w:pPr>
    </w:p>
    <w:p>
      <w:pPr>
        <w:spacing w:line="540" w:lineRule="exact"/>
        <w:jc w:val="center"/>
        <w:rPr>
          <w:rFonts w:eastAsia="仿宋_GB2312" w:hAnsi="宋体" w:cs="宋体"/>
          <w:kern w:val="0"/>
          <w:sz w:val="36"/>
          <w:szCs w:val="36"/>
        </w:rPr>
      </w:pPr>
      <w:r>
        <w:rPr>
          <w:rFonts w:eastAsia="仿宋_GB2312" w:hAnsi="宋体" w:cs="宋体" w:hint="eastAsia"/>
          <w:kern w:val="0"/>
          <w:sz w:val="36"/>
          <w:szCs w:val="36"/>
        </w:rPr>
        <w:t xml:space="preserve">（   </w:t>
      </w:r>
      <w:r>
        <w:rPr>
          <w:rStyle w:val="Strong"/>
          <w:rFonts w:ascii="楷体" w:eastAsia="楷体" w:hAnsi="楷体" w:hint="eastAsia"/>
          <w:spacing w:val="-4"/>
          <w:sz w:val="32"/>
          <w:szCs w:val="32"/>
        </w:rPr>
        <w:t xml:space="preserve">2025</w:t>
      </w:r>
      <w:r>
        <w:rPr>
          <w:rFonts w:eastAsia="仿宋_GB2312" w:hAnsi="宋体" w:cs="宋体" w:hint="eastAsia"/>
          <w:kern w:val="0"/>
          <w:sz w:val="36"/>
          <w:szCs w:val="36"/>
        </w:rPr>
        <w:t xml:space="preserve">  年度）</w:t>
      </w: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jc w:val="center"/>
        <w:rPr>
          <w:rFonts w:eastAsia="仿宋_GB2312" w:hAnsi="宋体" w:cs="宋体"/>
          <w:kern w:val="0"/>
          <w:sz w:val="30"/>
          <w:szCs w:val="30"/>
        </w:rPr>
      </w:pPr>
    </w:p>
    <w:p>
      <w:pPr>
        <w:spacing w:line="540" w:lineRule="exact"/>
        <w:rPr>
          <w:rFonts w:eastAsia="仿宋_GB2312" w:hAnsi="宋体" w:cs="宋体"/>
          <w:kern w:val="0"/>
          <w:sz w:val="30"/>
          <w:szCs w:val="30"/>
        </w:rPr>
      </w:pPr>
    </w:p>
    <w:p>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pPr>
        <w:spacing w:line="700" w:lineRule="exact"/>
        <w:ind w:firstLine="900" w:firstLineChars="250"/>
        <w:jc w:val="left"/>
        <w:rPr>
          <w:rFonts w:eastAsia="仿宋_GB2312" w:hAnsi="宋体" w:cs="宋体"/>
          <w:kern w:val="0"/>
          <w:sz w:val="36"/>
          <w:szCs w:val="36"/>
        </w:rPr>
      </w:pPr>
      <w:r>
        <w:rPr>
          <w:rFonts w:eastAsia="仿宋_GB2312" w:hAnsi="宋体" w:cs="宋体" w:hint="eastAsia"/>
          <w:kern w:val="0"/>
          <w:sz w:val="36"/>
          <w:szCs w:val="36"/>
        </w:rPr>
        <w:t xml:space="preserve">项目名称：</w:t>
      </w:r>
      <w:r>
        <w:rPr>
          <w:rStyle w:val="Strong"/>
          <w:rFonts w:ascii="楷体" w:eastAsia="楷体" w:hAnsi="楷体" w:hint="eastAsia"/>
          <w:spacing w:val="-4"/>
          <w:sz w:val="32"/>
          <w:szCs w:val="32"/>
        </w:rPr>
        <w:t xml:space="preserve">农资产品、煤质、药品、医疗器械、化妆品抽检、公平竞争、质量强县等工作经费</w:t>
      </w:r>
    </w:p>
    <w:p>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实施单位（公章）：</w:t>
      </w:r>
      <w:r>
        <w:rPr>
          <w:rStyle w:val="Strong"/>
          <w:rFonts w:ascii="楷体" w:eastAsia="楷体" w:hAnsi="楷体" w:hint="eastAsia"/>
          <w:spacing w:val="-4"/>
          <w:sz w:val="28"/>
          <w:szCs w:val="28"/>
        </w:rPr>
        <w:t xml:space="preserve">吉木萨尔县市场监督管理局</w:t>
      </w:r>
    </w:p>
    <w:p>
      <w:pPr>
        <w:spacing w:line="540" w:lineRule="exact"/>
        <w:ind w:firstLine="900" w:firstLineChars="250"/>
        <w:rPr>
          <w:rFonts w:ascii="楷体" w:eastAsia="楷体" w:hAnsi="楷体"/>
          <w:b/>
          <w:bCs/>
          <w:spacing w:val="-4"/>
          <w:sz w:val="28"/>
          <w:szCs w:val="28"/>
        </w:rPr>
      </w:pPr>
      <w:r>
        <w:rPr>
          <w:rFonts w:eastAsia="仿宋_GB2312" w:hAnsi="宋体" w:cs="宋体" w:hint="eastAsia"/>
          <w:kern w:val="0"/>
          <w:sz w:val="36"/>
          <w:szCs w:val="36"/>
        </w:rPr>
        <w:t xml:space="preserve">主管部门（公章）：</w:t>
      </w:r>
      <w:r>
        <w:rPr>
          <w:rStyle w:val="Strong"/>
          <w:rFonts w:ascii="楷体" w:eastAsia="楷体" w:hAnsi="楷体" w:hint="eastAsia"/>
          <w:spacing w:val="-4"/>
          <w:sz w:val="28"/>
          <w:szCs w:val="28"/>
        </w:rPr>
        <w:t xml:space="preserve">吉木萨尔县市场监督管理局</w:t>
      </w:r>
    </w:p>
    <w:p>
      <w:pPr>
        <w:spacing w:line="540" w:lineRule="exact"/>
        <w:ind w:firstLine="900" w:firstLineChars="250"/>
        <w:rPr>
          <w:rFonts w:ascii="楷体" w:eastAsia="楷体" w:hAnsi="楷体"/>
          <w:b/>
          <w:bCs/>
          <w:spacing w:val="-4"/>
          <w:sz w:val="32"/>
          <w:szCs w:val="32"/>
        </w:rPr>
      </w:pPr>
      <w:r>
        <w:rPr>
          <w:rFonts w:eastAsia="仿宋_GB2312" w:hAnsi="宋体" w:cs="宋体" w:hint="eastAsia"/>
          <w:kern w:val="0"/>
          <w:sz w:val="36"/>
          <w:szCs w:val="36"/>
        </w:rPr>
        <w:t xml:space="preserve">项目负责人（签章）：</w:t>
      </w:r>
      <w:r>
        <w:rPr>
          <w:rStyle w:val="Strong"/>
          <w:rFonts w:ascii="楷体" w:eastAsia="楷体" w:hAnsi="楷体" w:hint="eastAsia"/>
          <w:spacing w:val="-4"/>
          <w:sz w:val="32"/>
          <w:szCs w:val="32"/>
        </w:rPr>
        <w:t xml:space="preserve">王金晖</w:t>
      </w:r>
    </w:p>
    <w:p>
      <w:pPr>
        <w:spacing w:line="540" w:lineRule="exact"/>
        <w:ind w:left="273" w:firstLine="567"/>
        <w:rPr>
          <w:rStyle w:val="Strong"/>
          <w:rFonts w:ascii="楷体" w:eastAsia="楷体" w:hAnsi="楷体"/>
          <w:spacing w:val="-4"/>
          <w:sz w:val="32"/>
          <w:szCs w:val="32"/>
        </w:rPr>
      </w:pPr>
      <w:r>
        <w:rPr>
          <w:rFonts w:eastAsia="仿宋_GB2312" w:hAnsi="宋体" w:cs="宋体" w:hint="eastAsia"/>
          <w:kern w:val="0"/>
          <w:sz w:val="36"/>
          <w:szCs w:val="36"/>
        </w:rPr>
        <w:t xml:space="preserve">填报时间：</w:t>
      </w:r>
      <w:r>
        <w:rPr>
          <w:rStyle w:val="Strong"/>
          <w:rFonts w:ascii="楷体" w:eastAsia="楷体" w:hAnsi="楷体" w:hint="eastAsia"/>
          <w:spacing w:val="-4"/>
          <w:sz w:val="32"/>
          <w:szCs w:val="32"/>
        </w:rPr>
        <w:t xml:space="preserve">2026年04月14日</w:t>
      </w:r>
    </w:p>
    <w:p>
      <w:pPr>
        <w:spacing w:line="700" w:lineRule="exact"/>
        <w:ind w:firstLine="708" w:firstLineChars="236"/>
        <w:jc w:val="left"/>
        <w:rPr>
          <w:rFonts w:eastAsia="仿宋_GB2312" w:hAnsi="宋体" w:cs="宋体"/>
          <w:kern w:val="0"/>
          <w:sz w:val="30"/>
          <w:szCs w:val="30"/>
        </w:rPr>
      </w:pPr>
    </w:p>
    <w:p>
      <w:pPr>
        <w:spacing w:line="540" w:lineRule="exact"/>
        <w:rPr>
          <w:rStyle w:val="Strong"/>
          <w:rFonts w:ascii="黑体" w:eastAsia="黑体" w:hAnsi="黑体"/>
          <w:b w:val="0"/>
          <w:spacing w:val="-4"/>
          <w:sz w:val="32"/>
          <w:szCs w:val="32"/>
        </w:rPr>
      </w:pP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一、基本情况</w:t>
      </w:r>
    </w:p>
    <w:p>
      <w:pPr>
        <w:spacing w:line="540" w:lineRule="exact"/>
        <w:ind w:firstLine="567"/>
        <w:rPr>
          <w:rStyle w:val="Strong"/>
          <w:rFonts w:ascii="楷体" w:eastAsia="楷体" w:hAnsi="楷体" w:hint="default"/>
          <w:spacing w:val="-4"/>
          <w:sz w:val="32"/>
          <w:szCs w:val="32"/>
          <w:lang w:val="en-US" w:eastAsia="zh-CN"/>
        </w:rPr>
      </w:pPr>
      <w:r>
        <w:rPr>
          <w:rStyle w:val="Strong"/>
          <w:rFonts w:ascii="楷体" w:eastAsia="楷体" w:hAnsi="楷体" w:hint="eastAsia"/>
          <w:spacing w:val="-4"/>
          <w:sz w:val="32"/>
          <w:szCs w:val="32"/>
        </w:rPr>
        <w:t xml:space="preserve">（一）项目概况</w:t>
      </w:r>
      <w:r>
        <w:rPr>
          <w:rStyle w:val="Strong"/>
          <w:rFonts w:ascii="楷体" w:eastAsia="楷体" w:hAnsi="楷体" w:hint="eastAsia"/>
          <w:spacing w:val="-4"/>
          <w:sz w:val="32"/>
          <w:szCs w:val="32"/>
          <w:lang w:eastAsia="zh-CN"/>
        </w:rPr>
        <w:t xml:space="preserve">。</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1.项目背景</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市场监督管理局承担着辖区农资产品、煤质、药品、医疗器械、化妆品等重点品类的质量安全监管职责，同时肩负维护市场公平竞争、推进质量强县建设的工作任务。当前，辖区内农资产品质量直接影响农业生产与农户收益，煤炭品质关系生态环保与民生用能安全，药品、医疗器械、化妆品安全直接关乎群众身体健康；同时市场中仍存在不正当竞争行为、部分经营主体质量管控不到位等问题，亟需通过专项抽检、监管整治、质量提升等工作破解。本项目的实施，能够全面排查重点产品质量安全隐患，严厉打击违法违规经营行为，规范市场竞争秩序，提升辖区产品质量整体水平，保障群众消费安全与合法权益，推动吉木萨尔县质量强县战略落地，具有极强的必要性和紧迫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2.主要内容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（1）项目名称：农资产品、煤质、药品、医疗器械、化妆品抽检、公平竞争、质量强县等工作经费项目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主要内容：对辖区内农资（化肥、农药、农膜等）、煤炭、药品、医疗器械、化妆品等重点产品开展全环节抽样检验、检测；开展公平竞争审查、反不正当竞争执法相关工作，包括政策文件审查、市场竞争秩序排查、执法辅助、宣传培训等；保障上述工作开展所需的耗材采购、人员培训、宣传教育、设备运维、第三方服务采购等相关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3.实施情况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实施主体：吉木萨尔县市场监督管理局。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实施时间：本项目实施周期为2025年1月-2025年12月。</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实施情况：项目严格按照年度预算与财政资金管理要求推进，于本年度内有序完成各阶段任务，执行规范。期间完成各类产品抽检批次任务，依法处置不合格产品与违法线索，规范市场经营秩序；深入开展公平竞争审查与专项整治，破除市场壁垒；扎实推进质量强县各项创建、宣传与督导工作，完善质量工作机制。经费专款专用、规范列支，有效保障抽样送检、现场检查、执法办案、宣传培训、质量提升等工作落地，全面完成预算目标，切实维护市场安全与公平竞争环境，为县域质量治理与市场秩序稳定提供坚实支撑。</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4.项目实施主体</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（1）主要职能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负责县市场综合监督管理和知识产权管理。二是负责县市场主体统一登记注册。三是负责县市场监督和知识产权综合执法工作。四是配合上级部门开展反垄断统一执法。五是负责县集贸市场和个体工商户安全生产管理。六是负责宏观质量管理。七是负责产品质量安全监督管理。八是负责特种设备安全监督管理。九是负责食品安全监督管理综合协调。十是负责食品安全监督管理。十一是负责统一管理计量工作。十二是负责统一管理标准化工作。十三是负责统一管理检验检测工作。十四是负责统一管理认证认可工作。十五是负责促进知识产权运用。十六是负责保护知识产权。十七是负责药品、医疗器械和化妆品安全监督管理。十八是负责药品、化妆品不良反应和医疗器械不良事件监测工作。十九是负责本部门科技与信息化建设、新闻宣传。二十是承担县食品安全委员会的具体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（2）机构设置情况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吉木萨尔县市场监督管理局无下属预算单位，下设9个科室，分别是：办公室、法规科、行政审批（登记注册）科、信用监督管理与消费者权益保护科、食品安全监督管理科、药械化妆品安全监督管理科、特种设备安全监察科、质量计量标准化监督管理科、安全监察应急监督管理科。</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5.资金投入和使用情况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（1）项目资金安排落实、总投入等情况分析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本项目预算安排总额为30.00万元，资金来源为本级部门预算，其中：财政资金30.00万元，其他资金0.00万元，2025年实际收到预算资金30.00万元，预算资金到位率为100%。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（2）项目资金实际使用情况分析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截至2025年12月31日，本项目实际支付资金29.78万元，预算执行率99.27%。本项目资金主要用于支付业务委托费用13.93万元、培训差旅费费用6.74万元、印刷费用1.00万元。</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（二）项目绩效目标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1.总体目标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2025年农资产品、煤质、药品、医疗器械、化妆品抽检、公平竞争、质量强县等工作，项目总投资为30万元，项目计划于2025年12月完成。通过本项目的实施，可以及时发现和处理不合格商品，进一步提高市场监管水平，保障市场秩序和公共安全，提升全县人民群众健康指数，待项目实施完成，争取使监管对象满意度不低于85%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2.阶段性目标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根据《中华人民共和国预算法》《财政支出绩效评价管理暂行办法》（财预〔2020〕10号）、《中共中央 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（1）项目产出指标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①数量指标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“抽检批次”指标，预期指标值为“大于等于10批次”；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“药品监管对象”指标，预期指标值为“大于等于60家”；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“化妆品监管对象”指标，预期指标值为“大于等于55家”；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“医疗器械监管对象”指标，预期指标值为“大于等于85家”；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②质量指标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“监管覆盖率”指标，预期指标值为“大于等于90%”；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“无重大安全事故发生次数”指标，预期指标值为“小于等于0起”；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③时效指标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“按时完成下达任务数”指标，预期指标值为“=100%”；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（2）项目成本指标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“平均每批次价格”指标，预期指标值为“小于等于3.6万元”；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“印刷费”指标，预期指标值为“小于等于1万元”；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“差旅费”指标，预期指标值为“小于等于8万元”；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“业务委托费”指标，预期指标值为“小于等于13.30万元”；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“其他商品和服务支出”指标，预期指标值为“小于等于4万元”；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③生态环境成本指标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（3）项目效益指标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①经济效益指标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②社会效益指标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“提高市场监管水平”指标，预期指标值为“有效提高”；</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“提升全县人民群众健康指数”指标，预期指标值为“有效提升”；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③生态效益指标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（4）项目满意度指标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①满意度指标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“监管对象满意度”指标，预期指标值为“大于等于85%”。</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二、绩效评价工作开展情况</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（一）绩效评价目的、对象和范围</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1.绩效评价的目的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为全面实施预算绩效管理，建立科学、合理的项目支出绩效评价管理体系，提高财政资源配置效率和使用效益，根据财政部印发《项目支出绩效评价管理办法》（财预〔2020〕10号）、《自治区财政支出绩效评价管理暂行办法》（新财预〔2018〕189号）、《关于印发&lt;自治区项目支出绩效目标设置指引&gt;的通知》（新财预〔2022〕42号）文件精神，我单位针对农资产品、煤质、药品、医疗器械、化妆品抽检、公平竞争、质量强县等工作经费项目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部门项目支出绩效评价，进一步严格落实《中华人民共和国预算法》以及党中央、国务院关于加强预算绩效管理的指示精神，建立健全“花钱必问效、无效必问责”的绩效预算管理机制、提升财政资金的使用效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部门项目支出绩效评价，进一步做实绩效目标，根据项目绩效目标设立情况，细化形成多维度绩效指标，将绩效指标细化为数量指标、质量指标、时效指标、经济成本指标、社会成本指标、社会生态环境成本指标、经济效益指标、社会效益指标、服务对象满意度指标等内容，保证项目绩效指标设置科学、规范、合理、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2.绩效评价对象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此次我单位根据《财政支出绩效评价管理暂行办法》（财预〔2020〕10号）文件要求实施评价工作，本次评价对象为农资产品、煤质、药品、医疗器械、化妆品抽检、公平竞争、质量强县等工作经费项目，评价核心为项目资金、项目产出、项目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3.绩效评价范围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主要围绕项目资金使用情况和财务管理状况；资产配置、使用、处置及其收益管理情况；项目管理相关制度及措施是否被认真执行；绩效目标的实现程度（包括是否达到预定产出和效果）等方面进行综合绩效评价。</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spacing w:val="-4"/>
          <w:sz w:val="32"/>
          <w:szCs w:val="32"/>
        </w:rPr>
        <w:t xml:space="preserve">（二）绩效评价原则、评价指标体系、评价方法、评价标准</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1.绩效评价原则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依据《中华人民共和国预算法》《中共 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关于印发&lt;自治区项目支出绩效目标设置指引&gt;的通知》（新财预〔2022〕42号）等要求，绩效评价应遵循如下原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（1）科学公正。绩效评价应当运用科学合理的方法，按照规范的程序，对项目绩效进行客观、公正地反映。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统筹兼顾。单位自评、部门评价和财政评价应职责明确，各有侧重，相互衔接。单位自评应由项目单位自主实施，即“谁支出、谁自评”。部门评价和财政评价应在单位自评的基础上开展，必要时可委托第三方机构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（3）激励约束。绩效评价结果应与预算安排、政策调整、改进管理实质性挂钩，体现奖优罚劣和激励相容导向，有效要安排、低效要压减、无效要问责。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（4）公开透明。绩效评价结果应依法依规公开，并自觉接受社会监督。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根据以上原则，绩效评价应遵循如下要求：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（1）在数据采集时，采取客观数据，主管部门审查、社会中介组织复查，与问卷调查相结合的形式，以保证各项指标的真实性。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（2）保证评价结果的真实性、公正性，提高评价报告的公信力。</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2.绩效评价指标体系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通过实施资料研读及前期调研，结合项目的实际开展情况，按照《项目支出绩效评价管理办法》（财预〔2020〕10号）文件要求，结合项目特点，经与专家组充分协商，设置指标体系结构如下：设置一级指标共5个，包括：决策指标（21.00%）、过程指标（19.00%）、产出指标（30.00%）、效益指标（20.00%）、满意度指标（10.00%）五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项目支出绩效评价体系”。</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3.评价方法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根据本项目资金的性质和特点，选用比较法、公众评判法对项目进行评价，旨在通过综合分析影响绩效目标实现、实施效果的内外部因素，从而评价本项目绩效。其中：比较法，是指通过对绩效目标与实施效果、历史与当期情况、不同部门和地区同类支出的比较，综合分析绩效目标实现程度；公众评判法，是指通过专家评估、公众问卷及抽样调查等对财政支出效果进行评判，评价绩效目标实现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三级指标分析环节：总体采用比较法，同时辅以文献法、成本效益法、因素分析法以及公众评判法，根据不同三级指标类型进行逐项分析。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①定量指标分析环节：主要采用对比三级指标预期指标值和三级指标</w:t>
      </w:r>
      <w:r>
        <w:rPr>
          <w:rStyle w:val="Strong"/>
          <w:rFonts w:ascii="楷体" w:eastAsia="楷体" w:hAnsi="楷体" w:hint="eastAsia"/>
          <w:b w:val="0"/>
          <w:bCs w:val="0"/>
          <w:spacing w:val="-4"/>
          <w:sz w:val="32"/>
          <w:szCs w:val="32"/>
        </w:rPr>
        <w:t xml:space="preserve">截至</w:t>
      </w:r>
      <w:r>
        <w:rPr>
          <w:rStyle w:val="Strong"/>
          <w:rFonts w:ascii="楷体" w:eastAsia="楷体" w:hAnsi="楷体" w:hint="eastAsia"/>
          <w:b w:val="0"/>
          <w:bCs w:val="0"/>
          <w:spacing w:val="-4"/>
          <w:sz w:val="32"/>
          <w:szCs w:val="32"/>
        </w:rPr>
        <w:t xml:space="preserve">评价日的完成情况，综合分析绩效目标实现程度。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定性指标分析环节：主要采用公众评判法，通过问卷及抽样调查等方式评价本项目实施后社会公众对于其实施效果的满意程度，将调研结果按照《关于印发&lt;自治区项目支出绩效目标设置指引&gt;的通知》（新财预〔2022〕42号）要求分为基本达成目标、部分实现目标、实现目标程度较低三档，分别按照该指标对应分值区间100.00%（含）-80.00%（含）、80.00%-60.00%（含）、60.00%-0.00%合理确定分值，详细评价方法的应用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立项依据充分性：比较法、文献法，查找法律法规政策以及规划，对比实际执行内容和政策支持内容是否匹配。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立项程序规范性：比较法、文献法，查找相关项目设立的政策和文件要求，对比分析实际执行程序是否按照政策及文件要求执行，分析立项程序的规范性。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绩效目标合理性：比较法，对比分析年初编制项目支出绩效目标表与项目内容的相关性、资金的匹配性等。</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绩效指标明确性：比较法，比较分析年初编制项目支出绩效目标表是否符合双七原则，是否可衡量。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预算编制科学性：成本效益分析法，分析在产出一定的情况下，成本取值是否有依据，是否经过询价，是否按照市场最低成本编制。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资金分配合理性：因素分析法，综合分析资金的分配依据是否充分，分配金额是否与项目实施单位需求金额一致，</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资金到位率：比较法，资金到位率预期指标值应为100.00%，通过实际计算，分析实际完成值和预期指标值之间的差距和原因。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预算执行率：比较法，预算执行率预期指标值应为100.00%，通过实际计算，分析实际完成值和预期指标值之间的差距和原因。</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资金使用合规性：文献法、实地勘察法，一是查找资金管理办法，包括专项资金管理办法和单位自有资金管理办法；二是通过查账了解具体开支情况，是否专款专用，是否按照标准支出。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管理制度健全性：文献法、比较法，查阅项目实施人员提供的财务和业务管理制度，将已建立的制度与现行的法律法规和政策要求进行对比，分析项目制度的合法性、合规性、完整性。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制度执行有效性：比较法，结合项目实际实施过程性文件，根据已建设的财务管理制度和项目管理制度综合分析制度执行的有效性。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定性指标：公众评判法，通过问卷及抽样调查等方式评价本项目实施后社会公众对于其实施效果的满意程度。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绩效评价标准通常包括计划标准、行业标准、历史标准等，用于对绩效指标完成情况进行比较、分析、评价。具体绩效评价标准解释如下：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计划标准：指以预先制定的目标、计划、预算、定额等作为评价标准。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行业标准：指参照国家公布的行业指标数据制定的评价标准。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历史标准：指参照历史数据制定的评价标准，为体现绩效改进的原则，在可实现的条件下应当确定相对较高的评价标准。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次绩效评价采用计划标准，以预先制定的目标、计划、预算、定额等作为评价标准，对比分析项目产出、效益的完成情况。对于定性指标，通过问卷调查及访谈方式，采集相关数据，运用等级描述法，设置分级标准，体现该指标认可程度的差异。对于定量指标，通过公式等方式予以量化，可以准确衡量，并设定目标值的考核指标。</w:t>
      </w:r>
    </w:p>
    <w:p>
      <w:pPr>
        <w:spacing w:line="540" w:lineRule="exact"/>
        <w:ind w:firstLine="579" w:firstLineChars="181"/>
        <w:rPr>
          <w:rStyle w:val="Strong"/>
          <w:rFonts w:ascii="楷体" w:eastAsia="楷体" w:hAnsi="楷体"/>
          <w:spacing w:val="-4"/>
          <w:sz w:val="32"/>
          <w:szCs w:val="32"/>
        </w:rPr>
      </w:pPr>
      <w:r>
        <w:rPr>
          <w:rStyle w:val="Strong"/>
          <w:rFonts w:ascii="楷体" w:eastAsia="楷体" w:hAnsi="楷体" w:hint="eastAsia"/>
          <w:spacing w:val="-4"/>
          <w:sz w:val="32"/>
          <w:szCs w:val="32"/>
        </w:rPr>
        <w:t xml:space="preserve">（三）绩效评价工作过程</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1.前期准备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于2026年4月1日，确定绩效评价工作小组，正式开始前期准备工作，通过对评价对象前期调研，确定了评价的目的、方法以及评价的原则，根据项目的内容和特征制定了评价指标体系及评价标准。绩效评价工作小组人员名单及分工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王金晖（评价小组组长）：主要负责项目策划和监督，全面负责项目绩效评价报告的最终质量，对评价人员出具的最终报告质量进行复核，确保评估结果的客观性；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温静（评价小组组员）：主要负责资料的收集，取证、数据统计分析；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周子煜（评价小组组员）：主要负责项目报告的制定，指标的研判，数据分析及报告撰写。</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11日-4月14日，评价工作进入实施阶段。在数据采集方面，评价小组整理单位前期提交的资料，与项目实施负责人沟通，了解资金的内容、操作流程、管理机制、资金使用方向等情况并采集信息，了解项目设置背景及资金使用等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3.分析评价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2026年4月15日-4月20日，评价小组按照绩效评价的原则和规范，对取得的资料进行审查核实，对采集的数据进行分析，按照绩效评价指标评分表逐项进行打分、分析、汇总各方评价结果。　</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4.撰写与提交评价报告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2026年4月21日-4月28日，评价小组撰写绩效评价报告，按照新疆维吾尔自治区财政绩效管理信息系统绩效评价模块中统一格式和文本框架撰写绩效评价报告并提交审核。</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5.问题整改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审核通过后，由评价小组将报告推送至项目实施人员，由项目实施人员根据报告评价结论、存在的问题以及改进建议落实问题整改，并形成整改报告，由评价小组负责监督和核查整改落实情况，确保绩效评价落到实处。</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6.档案整理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建立和落实档案管理制度，将项目相关资料存档，包括但不限于：评价项目基本情况和相关文件、评价实施方案、项目支付资料等相关档案。</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rPr>
        <w:t xml:space="preserve">三、综合评价情况及评价结论</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（一）综合评价情况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经评价，本项目部分达成年初设立的绩效目标，在实施过程中取得了良好的成效，具体表现在：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一是通过项目的实施，按时完成了上级下达的抽检任务数，完成了41批次产品的抽检产出目标，发挥了市场监管产品质量的作用，但在实施过程中也存在一些不足，为确保项目产出的安全性和底线思维，抽检批次设定大于等于10批次的保守目标值，导致与实际完成值产生偏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通过项目的实施，完成了对60家药品监管对象、55家化妆品监管对象、85家医疗器械监管对象的监管，完成了监管覆盖率大于等于90%的产出目标，保障了全年未发生重大安全事故。但在实施过程中也存在一些不足，由于市场上药品、化妆品零售商户存在停业或者新开，致使我们年初不能准确预测监管对象的数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三是通过项目的实施，完成了年度抽检任务、人员业务能力培训及相关宣传品的制作，发挥了市场监管的基本职能，提升了市场监管水平，保障了人民群众的健康。</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（二）评价结论</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依据《中共中央国务院关于全面实施预算绩效管理的意见》《项目支出绩效评价管理办法》（财预〔2020〕10号）文件，绩效评价总分设置为100分，划分为四档：90（含）-100分为“优”、80（含）-90分为“良”、70（含）-80分为“中”、70分以下为“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级绩效评价遵循科学规范、公开公正、绩效相关和问题导向的原则、重点评价项目的资金投入与财务管理、组织管理、产出与效益效果。在此基础上，以相关的项目数据为基础，综合运用不同的评价方法，结合评价标准和评分规则。经评价分析，项目总体实施情况较好，项目综合得分为88.78分，评价结果为良。实际已完成对全县64家药品监管对象、65家化妆品监管对象和69家医疗器械监管对象的全年监管，监管覆盖率达到90%，按上级要求完成41批次产品的抽检，全年未发生重大安全事故。该项目主要用于对农资产品、煤质、药品、医疗器械、化妆品、公平竞争、质量强县等方面的业务宣传、人员培训、委托抽检等，通过项目的实施，提升了我县市场监管水平，提升了全县人民群众的健康指数。具体得分情况如下：</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表3-1：项目综合得分表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指标 决策类 管理类 产出类 效益类 满意度类 合计</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权重 21.00 19.00 30.00 20.00 10.00 100.00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 21 19 18.78 20 10 88.78</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得分率 100% 100% 62.6% 100% 100% 88.78%</w:t>
      </w:r>
    </w:p>
    <w:p>
      <w:pPr>
        <w:spacing w:line="540" w:lineRule="exact"/>
        <w:ind w:firstLine="640"/>
        <w:rPr>
          <w:rStyle w:val="Strong"/>
          <w:rFonts w:ascii="黑体" w:eastAsia="黑体" w:hAnsi="黑体"/>
        </w:rPr>
      </w:pPr>
      <w:r>
        <w:rPr>
          <w:rStyle w:val="Strong"/>
          <w:rFonts w:ascii="黑体" w:eastAsia="黑体" w:hAnsi="黑体" w:hint="eastAsia"/>
          <w:b w:val="0"/>
          <w:spacing w:val="-4"/>
          <w:sz w:val="32"/>
          <w:szCs w:val="32"/>
        </w:rPr>
        <w:t xml:space="preserve">四、绩效评价指标分析</w:t>
      </w:r>
      <w:r>
        <w:rPr>
          <w:rStyle w:val="Strong"/>
          <w:rFonts w:ascii="黑体" w:eastAsia="黑体" w:hAnsi="黑体" w:hint="eastAsia"/>
        </w:rPr>
        <w:t xml:space="preserve"> </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（一）</w:t>
      </w:r>
      <w:r>
        <w:rPr>
          <w:rStyle w:val="Strong"/>
          <w:rFonts w:ascii="楷体" w:eastAsia="楷体" w:hAnsi="楷体" w:hint="eastAsia"/>
          <w:spacing w:val="-4"/>
          <w:sz w:val="32"/>
          <w:szCs w:val="32"/>
        </w:rPr>
        <w:t xml:space="preserve">项目决策情况</w:t>
      </w:r>
    </w:p>
    <w:p>
      <w:pPr>
        <w:tabs>
          <w:tab w:val="center" w:pos="4295"/>
        </w:tabs>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项目决策类指标由3个二级指标和6个三级指标构成，权重分21.00分，实际得分21.00分。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1.项目立项情况分析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（1）立项依据充分性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立项符合《新疆维吾尔自治区产品质量监督条例》中：“县级以上人民政府有关行政主管部门和行业管理部门依照有关法律、法规的规定，在各自职责范围内，督促生产者、销售者依法生产、经营；推行质量认证，加强产品质量管理；按统一计划组织实施产品质量监督检查，协助产品质量监督管理部门查处质量违法案件。”；本项目立项符合《新疆维吾尔自治区质量强区建设实施方案》中强化重点产品质量安全管控、常态化开展质量监督抽检、推进质量强县层级建设、规范市场公平竞争秩序、夯实区域质量发展根基等相关要求内容，符合行业发展规划和政策要求；本项目立项符合《吉木萨尔县市场监督管理局单位配置内设机构和人员编制规定》中职责范围中的“负责产品质量安全监督管理”、“负责药品、医疗器械和化妆品安全监督管理”，属于我单位履职所需；根据《财政资金直接支付申请书》，本项目资金性质为“公共财政预算”功能分类为“2013899”经济分类为“业务委托费”属于公共财政支持范围，符合中央、地方事权支出责任划分原则；经检查我单位财政管理一体化信息系统，本项目不存在重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综上所述，本指标满分为5.00分，根据评分标准得5.00分，本项目立项依据充分。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（2）立项程序规范性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相关法律法规及年度考核指标，完成自治区下达的公平竞争工作任务，重点工业产品生产企业质量监管，质量监督抽查，煤质、药品、医疗器械、化妆品抽检任务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综上所述，本指标满分为3.00分，根据评分标准得3.00分，本项目立项程序规范。</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2.绩效目标情况分析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（1）绩效目标合理性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已设置年度绩效目标，具体内容为“2025年农资产品、煤质、药品、医疗器械、化妆品抽检、公平竞争、质量强县等工作，项目总投资为30万元，项目计划于2025年12月完成。通过本项目的实施，可以及时发现和处理不合格商品，进一步提高市场监管水平，保障市场秩序和公共安全，提升全县人民群众健康指数，待项目实施完成，争取使监管对象满意度不低于85%。”。</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该项目实际工作内容为：对辖区内的药品、化妆品、医疗器械销售方进行监管；对农资产品、煤质、药品、化妆品、电动自行车等进行质量抽检，及时发现和处理不合格商品；加强执法人员执法能力，积极参加业务培训，提升业务知识，进一步提高市场监管水平，保障市场秩序和公共安全，提升全县人民群众健康指数。</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按照绩效目标完成数量指标、质量指标、时效指标、成本指标，完成各项抽检批次41批次，保障了涉案产品、自主抽检等相关产品抽检经费，“两品一械”、食品安全抽检等均按时完成了区、州下达的任务数，监管覆盖率达90%，全年未发生重大安全事故。通过本项目的实施，进一步提高了市场监管水平，提升了全县人民群众健康指数，预期产出效益和效果符合正常的业绩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④该项目批复的预算金额为30.00万元，《项目支出绩效目标表》中预算金额为30.00万元，预算确定的项目资金与预算确定的项目投资额相匹配。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综上所述，本指标满分为4.00分，根据评分标准得4.00分，本项目绩效目标设置合理。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（2）绩效指标明确性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经检查我单位年初设置的《项目支出绩效目标表》，得出如下结论：本项目已将年度绩效目标进行细化为绩效指标体系，共设置一级指标4个，二级指标6个，三级指标15个，定量指标13个，定性指标2个，指标量化率为86.67%，量化率达70.00%以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该《项目绩效目标表》中，数量指标指标值为“抽检批次大于等于10批次”、“药品监管对象大于等于60家”、“化妆品监管对象大于等于55家”、“医疗器械监管对象大于等于85家”，三级指标的年度指标值与年度绩效目标中任务数一致，已设置时效指标“按时完成下达任务数”。已设置的绩效目标具备明确性、可衡量性、可实现性、相关性、时限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综上所述，本指标满分为3.00分，根据评分标准得3.00分，本项目所设置绩效指标明确。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3.资金投入情况分析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（1）预算编制科学性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本项目预算编制通过以往年度的实际执行情况，综合考虑本年度情况，综合编制预算。即预算编制较科学且经过论证；</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预算申请内容为2025年农资产品、煤质、药品、医疗器械、化妆品抽检、公平竞争、质量强县等工作经费，项目实际内容为2025年农资产品、煤质、药品、医疗器械、化妆品抽检、公平竞争、质量强县等工作经费，预算申请与《新疆维吾尔自治区产品质量监督条例》中涉及的项目内容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申请资金30.00万元，我单位在预算申请中严格按照项目实施内容及测算标准进行核算，其中：业务委托费用13.93万元、差旅费费用6.74万元、印刷费用1.00万元、其他商品和服务支出2.32万元、设备购置2.2万元、劳务费用3.6万元。预算确定资金量与实际工作任务相匹配。本项目预算额度测算依据充分，严格按照标准编制，预算确定资金量与实际工作任务相匹配；</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综上所述，本指标满分为4.00分，根据评分标准得4.00分，本项目预算编制科学。</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（2）资金分配合理性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分配资金结合上年实际使用情况及本年年初预算为依据进行资金分配，预算资金分配依据充分。根据年初预算（吉木萨尔县〔2025〕1号），本项目实际到位资金30.00万元，资金分配额度合理，与我单位实际需求相适应。</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综上所述，本指标满分为2.00分，根据评分标准得2.00分，本项目资金分配合理。</w:t>
      </w:r>
      <w:r>
        <w:rPr>
          <w:rStyle w:val="Strong"/>
          <w:rFonts w:ascii="楷体" w:eastAsia="楷体" w:hAnsi="楷体" w:hint="eastAsia"/>
          <w:b w:val="0"/>
          <w:bCs w:val="0"/>
          <w:spacing w:val="-4"/>
          <w:sz w:val="32"/>
          <w:szCs w:val="32"/>
        </w:rPr>
        <w:tab/>
      </w:r>
    </w:p>
    <w:p>
      <w:pPr>
        <w:spacing w:line="540" w:lineRule="exact"/>
        <w:ind w:firstLine="579" w:firstLineChars="181"/>
        <w:rPr>
          <w:rStyle w:val="Strong"/>
          <w:rFonts w:ascii="楷体" w:eastAsia="楷体" w:hAnsi="楷体"/>
          <w:spacing w:val="-4"/>
          <w:sz w:val="32"/>
          <w:szCs w:val="32"/>
        </w:rPr>
      </w:pPr>
      <w:r>
        <w:rPr>
          <w:rFonts w:ascii="楷体" w:eastAsia="楷体" w:hAnsi="楷体" w:hint="eastAsia"/>
          <w:b/>
          <w:spacing w:val="-4"/>
          <w:sz w:val="32"/>
          <w:szCs w:val="32"/>
        </w:rPr>
        <w:t xml:space="preserve">（二）</w:t>
      </w:r>
      <w:r>
        <w:rPr>
          <w:rStyle w:val="Strong"/>
          <w:rFonts w:ascii="楷体" w:eastAsia="楷体" w:hAnsi="楷体" w:hint="eastAsia"/>
          <w:spacing w:val="-4"/>
          <w:sz w:val="32"/>
          <w:szCs w:val="32"/>
        </w:rPr>
        <w:t xml:space="preserve">项目过程情况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项目过程管理类指标由2个二级指标和5个三级指标构成，权重分19.00分，实际得分19.00分。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（1）资金到位率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预算资金为30.00万元，其中：财政安排资金30.00万元，其他资金0.00万元，实际到位资金30.00万元，资金到位率=（实际到位资金/预算资金）×100.00%=（30.00/30.00）×100.00%=100.00%。得分=（100%-60.00%）/（1-60.00%）×4.00=4.00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（2）预算执行率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本项目实际支出资金29.78万元，预算执行率=（实际支出资金/实际到位资金）×100.00%=（29.78/30.00）×100.00%=99.27%；</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项目已完成，总体完成率为111.42%；</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总体目标完成率≥100.0%且90.0%≤执行率≤100.0%，得满分。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综上所述，本指标满分为5.00分，根据评分标准得5.00分，本项目资金分配合理。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（3）资金使用合规性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通过检查本项目签订的合同、资金申请文件、发票等财务付款凭证，得出本项目资金支出符合国家财经法规、《政府会计制度》《吉木萨尔县市场监督管理局单位资金管理办法》，资金的拨付有完整的审批程序和手续，资金实际使用方向与预算批复用途一致，不存在截留、挤占、挪用、虚列支出的情况。</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综上所述，本指标满分为4.00分，根据评分标准得4.00分，资金支出符合我单位财务管理制度规定。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2.组织实施情况分析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（1）管理制度健全性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我单位已制定《市场监督管理局财务管理制度》、《合同档案管理制度》、《财务收支制度》、《采购管理办法》、《固定资产制度》，上述已建立的制度均符合行政事业单位内控管理要求，财务和业务管理制度合法、合规、完整，本项目执行符合上述制度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综上所述，本指标满分为2.00分，根据评分标准得2.00分，项目制度建设健全。</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（2）制度执行有效性</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①该项目的实施符合《市场监督管理局财务管理制度》、《合同档案管理制度》、《财务收支制度》、《采购管理办法》、《固定资产制度》等相关法律法规及管理规定，项目具备完整规范的立项程序；经查证项目实施过程资料，项目采购、实施、验收等过程均按照采购管理办法和合同管理办法等相关制度执行，基本完成既定目标；经查证党委会议纪要、项目资金支付审批表、记账凭证等资金拨付流程资料，项目资金拨付流程完整、手续齐全。综上分析，项目执行遵守相关法律法规和相关管理规定。</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②经现场查证项目合同书、验收评审表、财务支付凭证等资料齐全并及时归档。</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③该项目实施过程中不存在调整事项。</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④该项目实施所需要的项目人员和场地设备均已落实到位，具体涉及内容包括：项目资金支出严格按照自治区、地区以及本单位资金管理办法执行，项目启动实施后，为了加快本项目的实施，成立了农资产品、煤质、药品、医疗器械、化妆品抽检、公平竞争、质量强县等工作经费项目工作领导小组，由王金晖任组长，负责项目的组织工作；买合木提·苏立唐任副组长，负责项目的实施工作；组员包括：温静和任晓燕，主要负责项目监督管理、验收以及资金核拨等工作。</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综上所述，本指标满分为4.00分，根据评分标准得4.00分，本项目所建立制度执行有效。</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（三）</w:t>
      </w:r>
      <w:r>
        <w:rPr>
          <w:rStyle w:val="Strong"/>
          <w:rFonts w:ascii="楷体" w:eastAsia="楷体" w:hAnsi="楷体" w:hint="eastAsia"/>
          <w:spacing w:val="-4"/>
          <w:sz w:val="32"/>
          <w:szCs w:val="32"/>
        </w:rPr>
        <w:t xml:space="preserve">项目产出情况</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项目产出类指标由4个二级指标和12个三级指标构成，权重分30.00分，实际得分18.78分。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1.数量指标完成情况分析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抽检批次”指标：预期指标值为“大于等于10批次”，实际完成指标值为“等于41批次”，指标完成率为410%。扣分原因分析：我单位在前期设定数量指标时，为确保项目产出的安全性和底线思维，抽检批次设定了大于等于10批次的保守目标值，故与实际完成值产生偏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药品监管对象数量”指标：预期指标值为“大于等于60家”，实际完成指标值为“等于64家”，指标完成率为106.67%。扣分原因分析：我单位在前期设定指标时，考虑本年度可能会有药品零售业停业等因素，将药品监管对象设定大于等于60家的保守目标值，故与实际完成值产生偏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综上所述，本指标满分为3.00分，根据评分标准得2.80分。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化妆品监管对象数量”指标：预期指标值为“大于等于55家”，实际完成指标值为“等于65家”，指标完成率为118.18%。扣分原因分析：我单位在前期设定指标时，考虑本年度可能会有化妆品店停业等因素，将化妆品监管对象设定大于等于55家的保守目标值，故与实际完成值产生偏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综上所述，本指标满分为3.00分，根据评分标准得2.45分。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医疗器械监管对象数量”指标：预期指标值为“大于等于85家”，实际完成指标值为“等于69家”，指标完成率为81.18%。扣分原因分析：我单位在前期设定指标时，未充分考虑本年度可能会有医疗器械行业监管对象停业较多等因素，故与实际完成值产生偏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综上所述，本指标满分为3.00分，根据评分标准得1.32分。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2.质量指标完成情况分析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“监管覆盖率”指标：预期指标值为“大于等于90%”，实际完成指标值为“等于90%”，指标完成率为100.00%。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“无重大安全事故发生次数”指标：预期指标值为“小于等于0起”，实际完成指标值为“等于0起”，指标完成率为100.00%。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3.时效指标完成情况分析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“按时完成下达任务数”指标：预期指标值为“等于100%”，实际完成指标值为“等于100%”，指标完成率为100.00%。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综上所述，本指标满分为3.00分，根据评分标准得3.00分。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4.成本指标完成情况分析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平均每批次价格”指标：预期指标值为“小于等于3.6万元”，实际完成指标值为“等于0.3万元”，指标完成率为8.33%。扣分原因分析：我单位在前期设定指标时，仅考虑了工业产品抽检费用合同较高，未结合其他产品检测成本较低的因素进行平均估值，故与实际完成值产生偏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“印刷费”指标：预期指标值为“小于等于1万元”，实际完成指标值为“等于1万元”，指标完成率为100%。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综上所述，本指标满分为2.00分，根据评分标准得2.00分。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差旅费”指标：预期指标值为“小于等于8万元”，实际完成指标值为“等于6.74万元”，指标完成率为84.25%。扣分原因分析：我单位在前期设定指标时，考虑执法能力提升培训班安排较多，目标值设置较高，但在后期药品相关培训较多，均选择从药品抽检经费支出，故与实际完成值产生偏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综上所述，本指标满分为2.00分，根据评分标准得1.21分。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业务委托费”指标：预期指标值为“小于等于13.30万元”，实际完成指标值为“等于13.93万元”，指标完成率为104.74%。扣分原因分析：我单位在前期设定指标时，预算编制要将律师委托业务费从办公经费列支，后期一是办公经费严重不足，二是考虑案件需求律师顾问量大、公平竞争涉案事项较多选择从此项经费列支，故与实际完成值产生偏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其他商品和服务支出”指标：预期指标值为“小于等于4万元”，实际完成指标值为“等于2.32万元”，指标完成率为58.00%。扣分原因分析：我单位在前期设定指标时，预算编制要预留部分机动经费，但在后期实际支出中，按工作开展情况进行了指标调剂，故与实际完成值产生偏差。</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综上所述，本指标满分为2.00分，根据评分标准得0.00分。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（3）生态环境成本指标完成情况分析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79" w:firstLineChars="181"/>
        <w:rPr>
          <w:rFonts w:ascii="楷体" w:eastAsia="楷体" w:hAnsi="楷体"/>
          <w:b/>
          <w:spacing w:val="-4"/>
          <w:sz w:val="32"/>
          <w:szCs w:val="32"/>
        </w:rPr>
      </w:pPr>
      <w:r>
        <w:rPr>
          <w:rFonts w:ascii="楷体" w:eastAsia="楷体" w:hAnsi="楷体" w:hint="eastAsia"/>
          <w:b/>
          <w:spacing w:val="-4"/>
          <w:sz w:val="32"/>
          <w:szCs w:val="32"/>
        </w:rPr>
        <w:t xml:space="preserve">（四）</w:t>
      </w:r>
      <w:r>
        <w:rPr>
          <w:rStyle w:val="Strong"/>
          <w:rFonts w:ascii="楷体" w:eastAsia="楷体" w:hAnsi="楷体" w:hint="eastAsia"/>
          <w:spacing w:val="-4"/>
          <w:sz w:val="32"/>
          <w:szCs w:val="32"/>
        </w:rPr>
        <w:t xml:space="preserve">项目效益情况</w:t>
      </w:r>
    </w:p>
    <w:p>
      <w:pPr>
        <w:spacing w:line="540" w:lineRule="exact"/>
        <w:ind w:firstLine="567"/>
        <w:rPr>
          <w:rStyle w:val="Strong"/>
          <w:rFonts w:ascii="楷体" w:eastAsia="楷体" w:hAnsi="楷体" w:hint="eastAsia"/>
          <w:b w:val="0"/>
          <w:bCs w:val="0"/>
          <w:spacing w:val="-4"/>
          <w:sz w:val="32"/>
          <w:szCs w:val="32"/>
        </w:rPr>
      </w:pPr>
      <w:r>
        <w:rPr>
          <w:rStyle w:val="Strong"/>
          <w:rFonts w:ascii="楷体" w:eastAsia="楷体" w:hAnsi="楷体" w:hint="eastAsia"/>
          <w:b w:val="0"/>
          <w:bCs w:val="0"/>
          <w:spacing w:val="-4"/>
          <w:sz w:val="32"/>
          <w:szCs w:val="32"/>
        </w:rPr>
        <w:t xml:space="preserve">项目效益类指标由1个二级指标和2个三级指标构成，权重分20.00分，实际得分20.00分。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1.经济效益完成情况分析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2.社会效益完成情况分析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“提高市场监管水平”指标：预期指标值为“有效提高”，实际完成指标值为“达到年度指标”，指标完成率为100.00%。达成提升市场监管水平的效益。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“提升全县人民群众健康指数”指标：预期指标值为“有效提升”，实际完成指标值为“达到年度指标”，指标完成率为100.00%。达成提升全县人民群众健康指数的效益。</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3.生态效益完成情况分析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无此类指标。</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项目满意度类指标由1个二级指标和1个三级指标构成，权重分10.00分，实际得分10.00分。</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1.满意度完成情况分析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“监管对象满意度”指标：预期指标值为“大于等于85%”，实际完成指标值为“等于85%”，指标完成率为100.00%。</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综上所述，本指标满分为10.00分，根据评分标准得10.00分。</w:t>
      </w:r>
      <w:bookmarkStart w:id="0" w:name="_GoBack"/>
      <w:bookmarkEnd w:id="0"/>
    </w:p>
    <w:p>
      <w:pPr>
        <w:spacing w:line="540" w:lineRule="exact"/>
        <w:ind w:firstLine="567"/>
        <w:rPr>
          <w:rStyle w:val="Strong"/>
          <w:rFonts w:ascii="楷体" w:eastAsia="楷体" w:hAnsi="楷体" w:hint="eastAsia"/>
          <w:b w:val="0"/>
          <w:bCs w:val="0"/>
          <w:spacing w:val="-4"/>
          <w:sz w:val="32"/>
          <w:szCs w:val="32"/>
        </w:rPr>
      </w:pPr>
    </w:p>
    <w:p>
      <w:pPr>
        <w:spacing w:line="540" w:lineRule="exact"/>
        <w:ind w:firstLine="567"/>
        <w:rPr>
          <w:rStyle w:val="Strong"/>
          <w:rFonts w:ascii="楷体" w:eastAsia="楷体" w:hAnsi="楷体"/>
          <w:spacing w:val="-4"/>
          <w:sz w:val="32"/>
          <w:szCs w:val="32"/>
        </w:rPr>
      </w:pPr>
    </w:p>
    <w:p>
      <w:pPr>
        <w:numPr>
          <w:ilvl w:val="0"/>
          <w:numId w:val="1"/>
        </w:numPr>
        <w:spacing w:line="540" w:lineRule="exact"/>
        <w:ind w:firstLine="640"/>
        <w:rPr>
          <w:rStyle w:val="Strong"/>
          <w:rFonts w:ascii="黑体" w:eastAsia="黑体" w:hAnsi="黑体" w:hint="eastAsia"/>
          <w:b w:val="0"/>
          <w:spacing w:val="-4"/>
          <w:sz w:val="32"/>
          <w:szCs w:val="32"/>
        </w:rPr>
      </w:pPr>
      <w:r>
        <w:rPr>
          <w:rStyle w:val="Strong"/>
          <w:rFonts w:ascii="黑体" w:eastAsia="黑体" w:hAnsi="黑体" w:hint="eastAsia"/>
          <w:b w:val="0"/>
          <w:spacing w:val="-4"/>
          <w:sz w:val="32"/>
          <w:szCs w:val="32"/>
        </w:rPr>
        <w:t xml:space="preserve">主要经验及做法、存在的问题及原因分析</w:t>
      </w:r>
    </w:p>
    <w:p>
      <w:pPr>
        <w:spacing w:line="540" w:lineRule="exact"/>
        <w:ind w:firstLine="567"/>
        <w:rPr>
          <w:rFonts w:ascii="仿宋_GB2312" w:eastAsia="仿宋_GB2312"/>
          <w:spacing w:val="-4"/>
          <w:sz w:val="32"/>
          <w:szCs w:val="32"/>
        </w:rPr>
      </w:pPr>
      <w:r>
        <w:rPr>
          <w:rStyle w:val="Strong"/>
          <w:rFonts w:ascii="楷体" w:eastAsia="楷体" w:hAnsi="楷体" w:hint="eastAsia"/>
          <w:b w:val="0"/>
          <w:bCs w:val="0"/>
          <w:spacing w:val="-4"/>
          <w:sz w:val="32"/>
          <w:szCs w:val="32"/>
        </w:rPr>
        <w:t xml:space="preserve">（一）主要经验及做法</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1、资金管理精细化，执行效率高。严格遵循财政资金管理要求，实行专款专用、全程管控。全年预算 30.00 万元，实际执行 29.78 万元，执行率达99.27%，无资金沉淀、无违规支出。通过建立预算执行台账，按月跟踪资金使用进度，及时调整支出节奏，既保障了抽检、监管等核心工作的资金需求，又实现了资金使用效益最大化。</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扎实落实核心监管任务，筑牢安全底线。聚焦监管核心指标，高质量完成各项任务：全年按时完成下达抽检任务，覆盖药品、化妆品、医疗器械等监管对象，监管覆盖率达90%，全年未发生重大安全事故，切实保障了辖区群众的消费安全与健康权益。同时通过常态化抽检、动态化监管，及时排查风险隐患，提升了市场监管水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（二）存在的问题及原因分析</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1、药品、化妆品、医疗器械监管对象指标设置不合理，监管底数不清。</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原因分析：一是辖区内化妆品、医疗器械经营主体多为小型门店、流动摊贩，分布零散且隐蔽性强，排查摸底难度大；二是监管人员力量有限，偏远区域、城乡结合部的摸排覆盖不足；三是部分经营主体备案信息更新不及时，未充分考虑到年度内主体新增、注销、变更等情况，导致底数不清，监管存在遗漏。</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2、在本次项目绩效自评中，抽检批次指标出现了目标值（≥10 批次）与实际完成值（41 批次）严重偏离、完成率高达 410% 的情况，本质是指标设定环节的科学性、前瞻性不足，受保守思维局限导致目标与实际工作脱节。</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原因分析：一是底线思维主导，过度追求指标完成的安全性。单位在前期设定抽检批次目标时，核心出发点是守住项目产出的底线，为了避免出现 “完不成目标、绩效扣分” 的风险，刻意压低了目标值。在实际执行中，监管任务的实际需求远高于保守的底线目标，最终出现了实际完成量数倍于目标值的情况。二是未结合自身实际执行能力，目标测算脱离工作实际。未充分评估辖区内监管对象的数量、风险等级，以及日常监管、专项抽检的实际需求，也未结合往年抽检任务的完成情况、本年度新增的监管工作要求，对目标值进行合理上浮。</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六</w:t>
      </w:r>
      <w:r>
        <w:rPr>
          <w:rStyle w:val="Strong"/>
          <w:rFonts w:ascii="黑体" w:eastAsia="黑体" w:hAnsi="黑体" w:hint="eastAsia"/>
          <w:b w:val="0"/>
          <w:spacing w:val="-4"/>
          <w:sz w:val="32"/>
          <w:szCs w:val="32"/>
        </w:rPr>
        <w:t xml:space="preserve">、有关建议</w:t>
      </w:r>
    </w:p>
    <w:p>
      <w:pPr>
        <w:spacing w:line="540" w:lineRule="exact"/>
        <w:ind w:firstLine="567"/>
        <w:rPr>
          <w:rStyle w:val="Strong"/>
          <w:rFonts w:ascii="楷体" w:eastAsia="楷体" w:hAnsi="楷体"/>
          <w:spacing w:val="-4"/>
          <w:sz w:val="32"/>
          <w:szCs w:val="32"/>
        </w:rPr>
      </w:pPr>
      <w:r>
        <w:rPr>
          <w:rStyle w:val="Strong"/>
          <w:rFonts w:ascii="楷体" w:eastAsia="楷体" w:hAnsi="楷体" w:hint="eastAsia"/>
          <w:b w:val="0"/>
          <w:bCs w:val="0"/>
          <w:spacing w:val="-4"/>
          <w:sz w:val="32"/>
          <w:szCs w:val="32"/>
        </w:rPr>
        <w:t xml:space="preserve">一是科学优化监管对象指标，结合辖区监管对象实际业态、分布特点、历史数据，合理设定监管对象数量目标，实行动态调整机制，根据年度内主体新增、注销、变更情况及时优化目标值。</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二是摒弃 “保底不扣分” 的保守思维，以 “匹配实际、引领工作” 为原则设定目标值，充分结合辖区监管对象数量、风险等级、日常监管及专项抽检需求，参考往年抽检完成情况和本年度新增工作任务，科学测算并合理上浮抽检批次目标，让指标真正反映工作效能、发挥指导作用。</w:t>
      </w:r>
    </w:p>
    <w:p>
      <w:pPr>
        <w:spacing w:line="540" w:lineRule="exact"/>
        <w:ind w:firstLine="640"/>
        <w:rPr>
          <w:rStyle w:val="Strong"/>
          <w:rFonts w:ascii="黑体" w:eastAsia="黑体" w:hAnsi="黑体"/>
          <w:b w:val="0"/>
          <w:spacing w:val="-4"/>
          <w:sz w:val="32"/>
          <w:szCs w:val="32"/>
        </w:rPr>
      </w:pPr>
      <w:r>
        <w:rPr>
          <w:rStyle w:val="Strong"/>
          <w:rFonts w:ascii="黑体" w:eastAsia="黑体" w:hAnsi="黑体" w:hint="eastAsia"/>
          <w:b w:val="0"/>
          <w:spacing w:val="-4"/>
          <w:sz w:val="32"/>
          <w:szCs w:val="32"/>
          <w:lang w:val="en-US" w:eastAsia="zh-CN"/>
        </w:rPr>
        <w:t xml:space="preserve">七</w:t>
      </w:r>
      <w:r>
        <w:rPr>
          <w:rStyle w:val="Strong"/>
          <w:rFonts w:ascii="黑体" w:eastAsia="黑体" w:hAnsi="黑体" w:hint="eastAsia"/>
          <w:b w:val="0"/>
          <w:spacing w:val="-4"/>
          <w:sz w:val="32"/>
          <w:szCs w:val="32"/>
        </w:rPr>
        <w:t xml:space="preserve">、其他需要说明的问题</w:t>
      </w:r>
    </w:p>
    <w:p>
      <w:pPr>
        <w:spacing w:line="540" w:lineRule="exact"/>
        <w:ind w:firstLine="567"/>
        <w:rPr>
          <w:rStyle w:val="Strong"/>
          <w:rFonts w:ascii="楷体" w:eastAsia="楷体" w:hAnsi="楷体"/>
          <w:b w:val="0"/>
          <w:bCs w:val="0"/>
          <w:spacing w:val="-4"/>
          <w:sz w:val="32"/>
          <w:szCs w:val="32"/>
        </w:rPr>
      </w:pPr>
      <w:r>
        <w:rPr>
          <w:rStyle w:val="Strong"/>
          <w:rFonts w:ascii="楷体" w:eastAsia="楷体" w:hAnsi="楷体" w:hint="eastAsia"/>
          <w:b w:val="0"/>
          <w:bCs w:val="0"/>
          <w:spacing w:val="-4"/>
          <w:sz w:val="32"/>
          <w:szCs w:val="32"/>
        </w:rPr>
        <w:t xml:space="preserve">（一）本项目部分间接产生的效果无法准确在短期内衡量，因此很难认定项目产生的全部效果。通过指标来反映绩效，指标的科学性和全面性需要不断地完善和研究。</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（二）评价结果作为安排政府预算、完善政策和改进管理的重要依据。原则上，对评价等级为优、良的，根据情况予以支持；对评价等级为中、差的，要完善政策、改进管理，根据情况核减预算。</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（三）评价结果分别编入政府决算和部门预算，报送本级人民代表大会常务委员会，并依法予以公开。</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r>
      <w:r>
        <w:rPr>
          <w:rStyle w:val="Strong"/>
          <w:rFonts w:ascii="楷体" w:eastAsia="楷体" w:hAnsi="楷体" w:hint="eastAsia"/>
          <w:b w:val="0"/>
          <w:bCs w:val="0"/>
          <w:spacing w:val="-4"/>
          <w:sz w:val="32"/>
          <w:szCs w:val="32"/>
        </w:rPr>
        <w:br/>
      </w:r>
      <w:r>
        <w:rPr>
          <w:rStyle w:val="Strong"/>
          <w:rFonts w:ascii="楷体" w:eastAsia="楷体" w:hAnsi="楷体" w:hint="eastAsia"/>
          <w:b w:val="0"/>
          <w:bCs w:val="0"/>
          <w:spacing w:val="-4"/>
          <w:sz w:val="32"/>
          <w:szCs w:val="32"/>
        </w:rPr>
        <w:t xml:space="preserve">（五）工作人员在绩效评价管理工作中存在违反《项目支出绩效评价管理办法》（财预〔2020〕10号）文件行为的，其他滥用职权、玩忽职守、徇私舞弊等违法违纪行为的，依照《中华人民共和国预算法》《中华人民共和国公务员法》《中华人民共和国监察法》《财政违法行为处罚处分条例》等国家有关规定追究相应责任，涉嫌犯罪的，依法移送司法机关处理。</w:t>
      </w: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p>
      <w:pPr>
        <w:spacing w:line="540" w:lineRule="exact"/>
        <w:ind w:firstLine="567"/>
        <w:rPr>
          <w:rStyle w:val="Strong"/>
          <w:rFonts w:ascii="仿宋" w:eastAsia="仿宋" w:hAnsi="仿宋"/>
          <w:b w:val="0"/>
          <w:spacing w:val="-4"/>
          <w:sz w:val="32"/>
          <w:szCs w:val="32"/>
        </w:rPr>
      </w:pPr>
    </w:p>
    <w:sectPr>
      <w:footerReference w:type="default" r:id="rId3"/>
      <w:pgSz w:w="11906" w:h="16838" w:orient="portrait"/>
      <w:pgMar w:top="1440" w:right="1558" w:bottom="1440" w:left="1757" w:header="851" w:footer="992" w:gutter="0"/>
      <w:cols w:num="1" w:space="425">
        <w:col w:w="8591" w:space="425"/>
      </w:cols>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
    <w:panose1 w:val="02010609060101010101"/>
    <w:charset w:val="86"/>
    <w:family w:val="modern"/>
    <w:pitch w:val="default"/>
    <w:sig w:usb0="800002BF" w:usb1="38CF7CFA" w:usb2="00000016" w:usb3="00000000" w:csb0="00040001" w:csb1="00000000"/>
  </w:font>
  <w:font w:name="华文中宋">
    <w:panose1 w:val="02010600040101010101"/>
    <w:charset w:val="86"/>
    <w:family w:val="auto"/>
    <w:pitch w:val="default"/>
    <w:sig w:usb0="00000287" w:usb1="080F0000" w:usb2="00000000" w:usb3="00000000" w:csb0="0004009F" w:csb1="DFD7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422003363"/>
    </w:sdtPr>
    <w:sdtContent>
      <w:p>
        <w:pPr>
          <w:pStyle w:val="Footer"/>
          <w:jc w:val="center"/>
        </w:pPr>
        <w:r>
          <w:fldChar w:fldCharType="begin"/>
        </w:r>
        <w:r>
          <w:instrText xml:space="preserve">PAGE   \* MERGEFORMAT</w:instrText>
        </w:r>
        <w:r>
          <w:fldChar w:fldCharType="separate"/>
        </w:r>
        <w:r>
          <w:rPr>
            <w:lang w:val="zh-CN"/>
          </w:rPr>
          <w:t xml:space="preserve">2</w:t>
        </w:r>
        <w:r>
          <w:fldChar w:fldCharType="end"/>
        </w:r>
      </w:p>
    </w:sdtContent>
  </w:sdt>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3FEA218F"/>
    <w:multiLevelType w:val="singleLevel"/>
    <w:tmpl w:val="3FEA218F"/>
    <w:name w:val="Numbered_97f126df-8303-4f22-bfe4-8157244c6f42"/>
    <w:lvl w:ilvl="0">
      <w:start w:val="5"/>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56465"/>
    <w:rsid w:val="00102DFF"/>
    <w:rsid w:val="0012073C"/>
    <w:rsid w:val="00121AE4"/>
    <w:rsid w:val="00146AAD"/>
    <w:rsid w:val="00151FA7"/>
    <w:rsid w:val="001B3A40"/>
    <w:rsid w:val="00291BC0"/>
    <w:rsid w:val="00311DBE"/>
    <w:rsid w:val="004366A8"/>
    <w:rsid w:val="00502BA7"/>
    <w:rsid w:val="005162F1"/>
    <w:rsid w:val="00535153"/>
    <w:rsid w:val="00554F82"/>
    <w:rsid w:val="0056390D"/>
    <w:rsid w:val="005719B0"/>
    <w:rsid w:val="005D10D6"/>
    <w:rsid w:val="00855E3A"/>
    <w:rsid w:val="0091457F"/>
    <w:rsid w:val="00922CB9"/>
    <w:rsid w:val="009A0637"/>
    <w:rsid w:val="009E5CD9"/>
    <w:rsid w:val="00A26421"/>
    <w:rsid w:val="00A34588"/>
    <w:rsid w:val="00A4293B"/>
    <w:rsid w:val="00A67D50"/>
    <w:rsid w:val="00A8691A"/>
    <w:rsid w:val="00AC1946"/>
    <w:rsid w:val="00B40063"/>
    <w:rsid w:val="00B41F61"/>
    <w:rsid w:val="00BA46E6"/>
    <w:rsid w:val="00C56C72"/>
    <w:rsid w:val="00CA6457"/>
    <w:rsid w:val="00CE2FD9"/>
    <w:rsid w:val="00D17F2E"/>
    <w:rsid w:val="00D30354"/>
    <w:rsid w:val="00DF42A0"/>
    <w:rsid w:val="00E30E91"/>
    <w:rsid w:val="00E769FE"/>
    <w:rsid w:val="00EA2CBE"/>
    <w:rsid w:val="00F32FEE"/>
    <w:rsid w:val="00FB10BB"/>
    <w:rsid w:val="0856517C"/>
    <w:rsid w:val="0BFB189F"/>
    <w:rsid w:val="0F58071E"/>
    <w:rsid w:val="11BD75F7"/>
    <w:rsid w:val="13BE561A"/>
    <w:rsid w:val="15392994"/>
    <w:rsid w:val="18FE139B"/>
    <w:rsid w:val="3029612C"/>
    <w:rsid w:val="32A221C5"/>
    <w:rsid w:val="33F20F2A"/>
    <w:rsid w:val="34C44675"/>
    <w:rsid w:val="3B5B5607"/>
    <w:rsid w:val="3CE21B3C"/>
    <w:rsid w:val="46AD611F"/>
    <w:rsid w:val="4D2606A1"/>
    <w:rsid w:val="51830480"/>
    <w:rsid w:val="53A616BE"/>
    <w:rsid w:val="54662BFB"/>
    <w:rsid w:val="62051CA5"/>
    <w:rsid w:val="6C3A69EF"/>
    <w:rsid w:val="7BDF2CF1"/>
    <w:rsid w:val="7DB12889"/>
  </w:rsids>
  <w:docVars>
    <w:docVar w:name="commondata" w:val="eyJoZGlkIjoiMzBlY2RlZTc4MzFlYzYzZjZmMTg4MDMwODUwYTE2N2UifQ=="/>
  </w:docVars>
  <m:mathPr>
    <m:mathFont m:val="Cambria Math"/>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imes New Roman"/>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lsdException w:name="header" w:semiHidden="0"/>
    <w:lsdException w:name="footer" w:semiHidden="0"/>
    <w:lsdException w:name="index heading"/>
    <w:lsdException w:name="caption" w:uiPriority="35"/>
    <w:lsdException w:name="table of figures"/>
    <w:lsdException w:name="envelope address"/>
    <w:lsdException w:name="envelope return"/>
    <w:lsdException w:name="footnote reference"/>
    <w:lsdException w:name="annotation reference"/>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lsdException w:name="Body Text"/>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Variable"/>
    <w:lsdException w:name="Normal Table"/>
    <w:lsdException w:name="annotation subject"/>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lsdException w:name="Table Grid" w:uiPriority="59"/>
    <w:lsdException w:name="Table Theme"/>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imes New Roman" w:eastAsia="宋体" w:hAnsi="Times New Roman" w:cs="Times New Roman"/>
      <w:kern w:val="2"/>
      <w:sz w:val="21"/>
      <w:szCs w:val="24"/>
      <w:lang w:val="en-US" w:eastAsia="zh-CN" w:bidi="ar-SA"/>
    </w:rPr>
  </w:style>
  <w:style w:type="paragraph" w:styleId="Heading1">
    <w:name w:val="Heading 1"/>
    <w:basedOn w:val="Normal"/>
    <w:next w:val="Normal"/>
    <w:link w:val="标题1Char"/>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Heading2">
    <w:name w:val="Heading 2"/>
    <w:basedOn w:val="Normal"/>
    <w:next w:val="Normal"/>
    <w:link w:val="标题2Char"/>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Heading3">
    <w:name w:val="Heading 3"/>
    <w:basedOn w:val="Normal"/>
    <w:next w:val="Normal"/>
    <w:link w:val="标题3Char"/>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Heading4">
    <w:name w:val="Heading 4"/>
    <w:basedOn w:val="Normal"/>
    <w:next w:val="Normal"/>
    <w:link w:val="标题4Char"/>
    <w:uiPriority w:val="9"/>
    <w:semiHidden/>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Heading5">
    <w:name w:val="Heading 5"/>
    <w:basedOn w:val="Normal"/>
    <w:next w:val="Normal"/>
    <w:link w:val="标题5Char"/>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Heading6">
    <w:name w:val="Heading 6"/>
    <w:basedOn w:val="Normal"/>
    <w:next w:val="Normal"/>
    <w:link w:val="标题6Char"/>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Heading7">
    <w:name w:val="Heading 7"/>
    <w:basedOn w:val="Normal"/>
    <w:next w:val="Normal"/>
    <w:link w:val="标题7Char"/>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Heading8">
    <w:name w:val="Heading 8"/>
    <w:basedOn w:val="Normal"/>
    <w:next w:val="Normal"/>
    <w:link w:val="标题8Char"/>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Heading9">
    <w:name w:val="Heading 9"/>
    <w:basedOn w:val="Normal"/>
    <w:next w:val="Normal"/>
    <w:link w:val="标题9Char"/>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DefaultParagraphFont">
    <w:name w:val="Default Paragraph Font"/>
    <w:uiPriority w:val="1"/>
    <w:semiHidden/>
    <w:unhideWhenUsed/>
  </w:style>
  <w:style w:type="table" w:default="1" w:styleId="NormalTable">
    <w:name w:val="Normal Table"/>
    <w:uiPriority w:val="99"/>
    <w:semiHidden/>
    <w:unhideWhenUsed/>
    <w:tblPr>
      <w:tblCellMar>
        <w:top w:w="0" w:type="dxa"/>
        <w:left w:w="108" w:type="dxa"/>
        <w:bottom w:w="0" w:type="dxa"/>
        <w:right w:w="108" w:type="dxa"/>
      </w:tblCellMar>
    </w:tblPr>
  </w:style>
  <w:style w:type="paragraph" w:styleId="BalloonText">
    <w:name w:val="Balloon Text"/>
    <w:basedOn w:val="Normal"/>
    <w:link w:val="批注框文本Char"/>
    <w:uiPriority w:val="99"/>
    <w:semiHidden/>
    <w:unhideWhenUsed/>
    <w:rPr>
      <w:sz w:val="18"/>
      <w:szCs w:val="18"/>
    </w:rPr>
  </w:style>
  <w:style w:type="paragraph" w:styleId="Footer">
    <w:name w:val="Footer"/>
    <w:basedOn w:val="Normal"/>
    <w:link w:val="页脚Char"/>
    <w:uiPriority w:val="99"/>
    <w:unhideWhenUsed/>
    <w:qFormat/>
    <w:pPr>
      <w:tabs>
        <w:tab w:val="center" w:pos="4153"/>
        <w:tab w:val="right" w:pos="8306"/>
      </w:tabs>
      <w:snapToGrid w:val="0"/>
      <w:jc w:val="left"/>
    </w:pPr>
    <w:rPr>
      <w:rFonts w:ascii="Calibri" w:hAnsi="Calibri"/>
      <w:sz w:val="18"/>
      <w:szCs w:val="18"/>
    </w:rPr>
  </w:style>
  <w:style w:type="paragraph" w:styleId="Header">
    <w:name w:val="Header"/>
    <w:basedOn w:val="Normal"/>
    <w:link w:val="页眉Char"/>
    <w:autoRedefine/>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Subtitle">
    <w:name w:val="Subtitle"/>
    <w:basedOn w:val="Normal"/>
    <w:next w:val="Normal"/>
    <w:link w:val="副标题Char"/>
    <w:uiPriority w:val="11"/>
    <w:qFormat/>
    <w:pPr>
      <w:widowControl/>
      <w:spacing w:after="60"/>
      <w:jc w:val="center"/>
      <w:outlineLvl w:val="1"/>
    </w:pPr>
    <w:rPr>
      <w:rFonts w:asciiTheme="majorHAnsi" w:eastAsiaTheme="majorEastAsia" w:hAnsiTheme="majorHAnsi"/>
      <w:kern w:val="0"/>
      <w:sz w:val="24"/>
    </w:rPr>
  </w:style>
  <w:style w:type="paragraph" w:styleId="Title">
    <w:name w:val="Title"/>
    <w:basedOn w:val="Normal"/>
    <w:next w:val="Normal"/>
    <w:link w:val="标题Char"/>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Strong">
    <w:name w:val="Strong"/>
    <w:basedOn w:val="DefaultParagraphFont"/>
    <w:qFormat/>
    <w:rPr>
      <w:b/>
      <w:bCs/>
    </w:rPr>
  </w:style>
  <w:style w:type="character" w:styleId="Emphasis">
    <w:name w:val="Emphasis"/>
    <w:basedOn w:val="DefaultParagraphFont"/>
    <w:uiPriority w:val="20"/>
    <w:qFormat/>
    <w:rPr>
      <w:rFonts w:asciiTheme="minorHAnsi" w:hAnsiTheme="minorHAnsi"/>
      <w:b/>
      <w:i/>
      <w:iCs/>
    </w:rPr>
  </w:style>
  <w:style w:type="character" w:customStyle="1" w:styleId="标题1Char">
    <w:name w:val="标题 1 Char"/>
    <w:basedOn w:val="DefaultParagraphFont"/>
    <w:link w:val="Heading1"/>
    <w:uiPriority w:val="9"/>
    <w:qFormat/>
    <w:rPr>
      <w:rFonts w:asciiTheme="majorHAnsi" w:eastAsiaTheme="majorEastAsia" w:hAnsiTheme="majorHAnsi"/>
      <w:b/>
      <w:bCs/>
      <w:kern w:val="32"/>
      <w:sz w:val="32"/>
      <w:szCs w:val="32"/>
    </w:rPr>
  </w:style>
  <w:style w:type="character" w:customStyle="1" w:styleId="标题2Char">
    <w:name w:val="标题 2 Char"/>
    <w:basedOn w:val="DefaultParagraphFont"/>
    <w:link w:val="Heading2"/>
    <w:uiPriority w:val="9"/>
    <w:semiHidden/>
    <w:qFormat/>
    <w:rPr>
      <w:rFonts w:asciiTheme="majorHAnsi" w:eastAsiaTheme="majorEastAsia" w:hAnsiTheme="majorHAnsi"/>
      <w:b/>
      <w:bCs/>
      <w:i/>
      <w:iCs/>
      <w:sz w:val="28"/>
      <w:szCs w:val="28"/>
    </w:rPr>
  </w:style>
  <w:style w:type="character" w:customStyle="1" w:styleId="标题3Char">
    <w:name w:val="标题 3 Char"/>
    <w:basedOn w:val="DefaultParagraphFont"/>
    <w:link w:val="Heading3"/>
    <w:uiPriority w:val="9"/>
    <w:semiHidden/>
    <w:qFormat/>
    <w:rPr>
      <w:rFonts w:asciiTheme="majorHAnsi" w:eastAsiaTheme="majorEastAsia" w:hAnsiTheme="majorHAnsi"/>
      <w:b/>
      <w:bCs/>
      <w:sz w:val="26"/>
      <w:szCs w:val="26"/>
    </w:rPr>
  </w:style>
  <w:style w:type="character" w:customStyle="1" w:styleId="标题4Char">
    <w:name w:val="标题 4 Char"/>
    <w:basedOn w:val="DefaultParagraphFont"/>
    <w:link w:val="Heading4"/>
    <w:uiPriority w:val="9"/>
    <w:semiHidden/>
    <w:qFormat/>
    <w:rPr>
      <w:b/>
      <w:bCs/>
      <w:sz w:val="28"/>
      <w:szCs w:val="28"/>
    </w:rPr>
  </w:style>
  <w:style w:type="character" w:customStyle="1" w:styleId="标题5Char">
    <w:name w:val="标题 5 Char"/>
    <w:basedOn w:val="DefaultParagraphFont"/>
    <w:link w:val="Heading5"/>
    <w:uiPriority w:val="9"/>
    <w:semiHidden/>
    <w:qFormat/>
    <w:rPr>
      <w:b/>
      <w:bCs/>
      <w:i/>
      <w:iCs/>
      <w:sz w:val="26"/>
      <w:szCs w:val="26"/>
    </w:rPr>
  </w:style>
  <w:style w:type="character" w:customStyle="1" w:styleId="标题6Char">
    <w:name w:val="标题 6 Char"/>
    <w:basedOn w:val="DefaultParagraphFont"/>
    <w:link w:val="Heading6"/>
    <w:uiPriority w:val="9"/>
    <w:semiHidden/>
    <w:qFormat/>
    <w:rPr>
      <w:b/>
      <w:bCs/>
    </w:rPr>
  </w:style>
  <w:style w:type="character" w:customStyle="1" w:styleId="标题7Char">
    <w:name w:val="标题 7 Char"/>
    <w:basedOn w:val="DefaultParagraphFont"/>
    <w:link w:val="Heading7"/>
    <w:uiPriority w:val="9"/>
    <w:semiHidden/>
    <w:rPr>
      <w:sz w:val="24"/>
      <w:szCs w:val="24"/>
    </w:rPr>
  </w:style>
  <w:style w:type="character" w:customStyle="1" w:styleId="标题8Char">
    <w:name w:val="标题 8 Char"/>
    <w:basedOn w:val="DefaultParagraphFont"/>
    <w:link w:val="Heading8"/>
    <w:uiPriority w:val="9"/>
    <w:semiHidden/>
    <w:qFormat/>
    <w:rPr>
      <w:i/>
      <w:iCs/>
      <w:sz w:val="24"/>
      <w:szCs w:val="24"/>
    </w:rPr>
  </w:style>
  <w:style w:type="character" w:customStyle="1" w:styleId="标题9Char">
    <w:name w:val="标题 9 Char"/>
    <w:basedOn w:val="DefaultParagraphFont"/>
    <w:link w:val="Heading9"/>
    <w:uiPriority w:val="9"/>
    <w:semiHidden/>
    <w:qFormat/>
    <w:rPr>
      <w:rFonts w:asciiTheme="majorHAnsi" w:eastAsiaTheme="majorEastAsia" w:hAnsiTheme="majorHAnsi"/>
    </w:rPr>
  </w:style>
  <w:style w:type="character" w:customStyle="1" w:styleId="标题Char">
    <w:name w:val="标题 Char"/>
    <w:basedOn w:val="DefaultParagraphFont"/>
    <w:link w:val="Title"/>
    <w:uiPriority w:val="10"/>
    <w:rPr>
      <w:rFonts w:asciiTheme="majorHAnsi" w:eastAsiaTheme="majorEastAsia" w:hAnsiTheme="majorHAnsi"/>
      <w:b/>
      <w:bCs/>
      <w:kern w:val="28"/>
      <w:sz w:val="32"/>
      <w:szCs w:val="32"/>
    </w:rPr>
  </w:style>
  <w:style w:type="character" w:customStyle="1" w:styleId="副标题Char">
    <w:name w:val="副标题 Char"/>
    <w:basedOn w:val="DefaultParagraphFont"/>
    <w:link w:val="Subtitle"/>
    <w:uiPriority w:val="11"/>
    <w:rPr>
      <w:rFonts w:asciiTheme="majorHAnsi" w:eastAsiaTheme="majorEastAsia" w:hAnsiTheme="majorHAnsi"/>
      <w:sz w:val="24"/>
      <w:szCs w:val="24"/>
    </w:rPr>
  </w:style>
  <w:style w:type="paragraph" w:styleId="NoSpacing">
    <w:name w:val="No Spacing"/>
    <w:basedOn w:val="Normal"/>
    <w:uiPriority w:val="1"/>
    <w:qFormat/>
    <w:pPr>
      <w:widowControl/>
      <w:jc w:val="left"/>
    </w:pPr>
    <w:rPr>
      <w:rFonts w:asciiTheme="minorHAnsi" w:eastAsiaTheme="minorEastAsia" w:hAnsiTheme="minorHAnsi"/>
      <w:kern w:val="0"/>
      <w:sz w:val="24"/>
      <w:szCs w:val="32"/>
      <w:lang w:eastAsia="en-US" w:bidi="en-US"/>
    </w:rPr>
  </w:style>
  <w:style w:type="paragraph" w:styleId="ListParagraph">
    <w:name w:val="List Paragraph"/>
    <w:basedOn w:val="Normal"/>
    <w:uiPriority w:val="34"/>
    <w:qFormat/>
    <w:pPr>
      <w:widowControl/>
      <w:ind w:left="720"/>
      <w:contextualSpacing/>
      <w:jc w:val="left"/>
    </w:pPr>
    <w:rPr>
      <w:rFonts w:asciiTheme="minorHAnsi" w:eastAsiaTheme="minorEastAsia" w:hAnsiTheme="minorHAnsi"/>
      <w:kern w:val="0"/>
      <w:sz w:val="24"/>
      <w:lang w:eastAsia="en-US" w:bidi="en-US"/>
    </w:rPr>
  </w:style>
  <w:style w:type="paragraph" w:styleId="Quote">
    <w:name w:val="Quote"/>
    <w:basedOn w:val="Normal"/>
    <w:next w:val="Normal"/>
    <w:link w:val="引用Char"/>
    <w:uiPriority w:val="29"/>
    <w:qFormat/>
    <w:pPr>
      <w:widowControl/>
      <w:jc w:val="left"/>
    </w:pPr>
    <w:rPr>
      <w:rFonts w:asciiTheme="minorHAnsi" w:eastAsiaTheme="minorEastAsia" w:hAnsiTheme="minorHAnsi"/>
      <w:i/>
      <w:kern w:val="0"/>
      <w:sz w:val="24"/>
    </w:rPr>
  </w:style>
  <w:style w:type="character" w:customStyle="1" w:styleId="引用Char">
    <w:name w:val="引用 Char"/>
    <w:basedOn w:val="DefaultParagraphFont"/>
    <w:link w:val="Quote"/>
    <w:uiPriority w:val="29"/>
    <w:rPr>
      <w:i/>
      <w:sz w:val="24"/>
      <w:szCs w:val="24"/>
    </w:rPr>
  </w:style>
  <w:style w:type="paragraph" w:styleId="IntenseQuote">
    <w:name w:val="Intense Quote"/>
    <w:basedOn w:val="Normal"/>
    <w:next w:val="Normal"/>
    <w:link w:val="明显引用Char"/>
    <w:uiPriority w:val="30"/>
    <w:qFormat/>
    <w:pPr>
      <w:widowControl/>
      <w:ind w:left="720" w:right="720"/>
      <w:jc w:val="left"/>
    </w:pPr>
    <w:rPr>
      <w:rFonts w:asciiTheme="minorHAnsi" w:eastAsiaTheme="minorEastAsia" w:hAnsiTheme="minorHAnsi"/>
      <w:b/>
      <w:i/>
      <w:kern w:val="0"/>
      <w:sz w:val="24"/>
      <w:szCs w:val="22"/>
    </w:rPr>
  </w:style>
  <w:style w:type="character" w:customStyle="1" w:styleId="明显引用Char">
    <w:name w:val="明显引用 Char"/>
    <w:basedOn w:val="DefaultParagraphFont"/>
    <w:link w:val="IntenseQuote"/>
    <w:uiPriority w:val="30"/>
    <w:rPr>
      <w:b/>
      <w:i/>
      <w:sz w:val="24"/>
    </w:rPr>
  </w:style>
  <w:style w:type="character" w:customStyle="1" w:styleId="不明显强调1">
    <w:name w:val="不明显强调1"/>
    <w:uiPriority w:val="19"/>
    <w:qFormat/>
    <w:rPr>
      <w:i/>
      <w:color w:val="595959" w:themeColor="text1" w:themeTint="A6"/>
      <w14:textFill>
        <w14:solidFill>
          <w14:schemeClr w14:val="tx1">
            <w14:lumMod w14:val="65000"/>
            <w14:lumOff w14:val="35000"/>
          </w14:schemeClr>
        </w14:solidFill>
      </w14:textFill>
    </w:rPr>
  </w:style>
  <w:style w:type="character" w:customStyle="1" w:styleId="明显强调1">
    <w:name w:val="明显强调1"/>
    <w:basedOn w:val="DefaultParagraphFont"/>
    <w:uiPriority w:val="21"/>
    <w:qFormat/>
    <w:rPr>
      <w:b/>
      <w:i/>
      <w:sz w:val="24"/>
      <w:szCs w:val="24"/>
      <w:u w:val="single"/>
    </w:rPr>
  </w:style>
  <w:style w:type="character" w:customStyle="1" w:styleId="不明显参考1">
    <w:name w:val="不明显参考1"/>
    <w:basedOn w:val="DefaultParagraphFont"/>
    <w:uiPriority w:val="31"/>
    <w:qFormat/>
    <w:rPr>
      <w:sz w:val="24"/>
      <w:szCs w:val="24"/>
      <w:u w:val="single"/>
    </w:rPr>
  </w:style>
  <w:style w:type="character" w:customStyle="1" w:styleId="明显参考1">
    <w:name w:val="明显参考1"/>
    <w:basedOn w:val="DefaultParagraphFont"/>
    <w:uiPriority w:val="32"/>
    <w:qFormat/>
    <w:rPr>
      <w:b/>
      <w:sz w:val="24"/>
      <w:u w:val="single"/>
    </w:rPr>
  </w:style>
  <w:style w:type="character" w:customStyle="1" w:styleId="书籍标题1">
    <w:name w:val="书籍标题1"/>
    <w:basedOn w:val="DefaultParagraphFont"/>
    <w:uiPriority w:val="33"/>
    <w:qFormat/>
    <w:rPr>
      <w:rFonts w:asciiTheme="majorHAnsi" w:eastAsiaTheme="majorEastAsia" w:hAnsiTheme="majorHAnsi"/>
      <w:b/>
      <w:i/>
      <w:sz w:val="24"/>
      <w:szCs w:val="24"/>
    </w:rPr>
  </w:style>
  <w:style w:type="paragraph" w:customStyle="1" w:styleId="TOC标题1">
    <w:name w:val="TOC 标题1"/>
    <w:basedOn w:val="Heading1"/>
    <w:next w:val="Normal"/>
    <w:uiPriority w:val="39"/>
    <w:semiHidden/>
    <w:unhideWhenUsed/>
    <w:qFormat/>
    <w:pPr>
      <w:outlineLvl w:val="9"/>
    </w:pPr>
    <w:rPr>
      <w:lang w:eastAsia="en-US" w:bidi="en-US"/>
    </w:rPr>
  </w:style>
  <w:style w:type="character" w:customStyle="1" w:styleId="页眉Char">
    <w:name w:val="页眉 Char"/>
    <w:basedOn w:val="DefaultParagraphFont"/>
    <w:link w:val="Header"/>
    <w:uiPriority w:val="99"/>
    <w:rPr>
      <w:rFonts w:ascii="Calibri" w:eastAsia="宋体" w:hAnsi="Calibri"/>
      <w:kern w:val="2"/>
      <w:sz w:val="18"/>
      <w:szCs w:val="18"/>
    </w:rPr>
  </w:style>
  <w:style w:type="character" w:customStyle="1" w:styleId="页脚Char">
    <w:name w:val="页脚 Char"/>
    <w:basedOn w:val="DefaultParagraphFont"/>
    <w:link w:val="Footer"/>
    <w:uiPriority w:val="99"/>
    <w:rPr>
      <w:rFonts w:ascii="Calibri" w:eastAsia="宋体" w:hAnsi="Calibri"/>
      <w:kern w:val="2"/>
      <w:sz w:val="18"/>
      <w:szCs w:val="18"/>
    </w:rPr>
  </w:style>
  <w:style w:type="character" w:customStyle="1" w:styleId="批注框文本Char">
    <w:name w:val="批注框文本 Char"/>
    <w:basedOn w:val="DefaultParagraphFont"/>
    <w:link w:val="BalloonText"/>
    <w:uiPriority w:val="99"/>
    <w:semiHidden/>
    <w:qFormat/>
    <w:rPr>
      <w:rFonts w:ascii="Times New Roman" w:eastAsia="宋体" w:hAnsi="Times New Roman"/>
      <w:kern w:val="2"/>
      <w:sz w:val="18"/>
      <w:szCs w:val="18"/>
    </w:rPr>
  </w:style>
  <w:style w:type="numbering" w:default="1" w:styleId="NoList">
    <w:name w:val="No List"/>
    <w:uiPriority w:val="99"/>
    <w:semiHidden/>
    <w:unhideWhenUsed/>
  </w:style>
  <w:style w:type="table" w:styleId="TableGrid">
    <w:name w:val="Table Grid"/>
    <w:basedOn w:val="TableNormal"/>
    <w:tblPr>
      <w:tblInd w:w="0" w:type="dxa"/>
      <w:tblBorders>
        <w:top w:val="single" w:sz="4" w:space="0" w:color="000000"/>
        <w:left val="single" sz="4" space="0" 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1" Type="http://schemas.openxmlformats.org/officeDocument/2006/relationships/settings" Target="settings.xml"/><Relationship Id="rId2" Type="http://schemas.openxmlformats.org/officeDocument/2006/relationships/webSettings" Target="webSettings.xml"/><Relationship Id="rId3" Type="http://schemas.openxmlformats.org/officeDocument/2006/relationships/footer" Target="footer1.xml"/><Relationship Id="rId4" Type="http://schemas.openxmlformats.org/officeDocument/2006/relationships/theme" Target="theme/theme1.xml"/><Relationship Id="rId5" Type="http://schemas.openxmlformats.org/officeDocument/2006/relationships/styles" Target="styles.xml"/><Relationship Id="rId6" Type="http://schemas.openxmlformats.org/officeDocument/2006/relationships/numbering" Target="numbering.xml"/><Relationship Id="rId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7</TotalTime>
  <Pages>3</Pages>
  <Words>270</Words>
  <Characters>578</Characters>
  <Application>WPS Office_12.1.0.16929_F1E327BC-269C-435d-A152-05C5408002CA</Application>
  <DocSecurity>0</DocSecurity>
  <Lines>4</Lines>
  <Paragraphs>1</Paragraphs>
  <ScaleCrop>false</ScaleCrop>
  <LinksUpToDate>false</LinksUpToDate>
  <CharactersWithSpaces>592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赵 恺_xFF08_预算处_xFF09_</dc:creator>
  <cp:lastModifiedBy>Azureblue</cp:lastModifiedBy>
  <cp:revision>20</cp:revision>
  <cp:lastPrinted>2018-12-31T10:56:00Z</cp:lastPrinted>
  <dcterms:created xsi:type="dcterms:W3CDTF">2018-08-15T02:06:00Z</dcterms:created>
  <dcterms:modified xsi:type="dcterms:W3CDTF">2025-03-20T04:43:17Z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2052-12.1.0.16929</vt:lpwstr>
  </property>
  <property fmtid="{D5CDD505-2E9C-101B-9397-08002B2CF9AE}" pid="3" name="ICV">
    <vt:lpwstr>86A4BE803B594D54BB30BEB283D7FDDD_13</vt:lpwstr>
  </property>
</Properties>
</file>