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吉木萨尔县工商业联合会（商会）</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1．依据《中国工商业联合会章程》，贯彻执行县工商联执委会、常委会决议。</w:t>
      </w:r>
    </w:p>
    <w:p>
      <w:pPr>
        <w:spacing w:line="580" w:lineRule="exact"/>
        <w:ind w:firstLine="640"/>
        <w:jc w:val="both"/>
      </w:pPr>
      <w:r>
        <w:rPr>
          <w:rFonts w:ascii="仿宋_GB2312" w:hAnsi="仿宋_GB2312" w:eastAsia="仿宋_GB2312"/>
          <w:sz w:val="32"/>
        </w:rPr>
        <w:t>2．做好县工商联履行政治协商、参政议政，民主监督职能的有关工作。</w:t>
      </w:r>
    </w:p>
    <w:p>
      <w:pPr>
        <w:spacing w:line="580" w:lineRule="exact"/>
        <w:ind w:firstLine="640"/>
        <w:jc w:val="both"/>
      </w:pPr>
      <w:r>
        <w:rPr>
          <w:rFonts w:ascii="仿宋_GB2312" w:hAnsi="仿宋_GB2312" w:eastAsia="仿宋_GB2312"/>
          <w:sz w:val="32"/>
        </w:rPr>
        <w:t>3．宣传党和国家的方针政策，开展非公有制经济人士的日常联系、考察、培养工作，协助做好政治安排推荐的有关工作。</w:t>
      </w:r>
    </w:p>
    <w:p>
      <w:pPr>
        <w:spacing w:line="580" w:lineRule="exact"/>
        <w:ind w:firstLine="640"/>
        <w:jc w:val="both"/>
      </w:pPr>
      <w:r>
        <w:rPr>
          <w:rFonts w:ascii="仿宋_GB2312" w:hAnsi="仿宋_GB2312" w:eastAsia="仿宋_GB2312"/>
          <w:sz w:val="32"/>
        </w:rPr>
        <w:t>4．负责县商会具体工作，加强与政府部门及有关经济组织的联系，为会员企业开展经济活动提供服务。</w:t>
      </w:r>
    </w:p>
    <w:p>
      <w:pPr>
        <w:spacing w:line="580" w:lineRule="exact"/>
        <w:ind w:firstLine="640"/>
        <w:jc w:val="both"/>
      </w:pPr>
      <w:r>
        <w:rPr>
          <w:rFonts w:ascii="仿宋_GB2312" w:hAnsi="仿宋_GB2312" w:eastAsia="仿宋_GB2312"/>
          <w:sz w:val="32"/>
        </w:rPr>
        <w:t>5．依照法律《中国工商业联合会章程》，维护会员的合法权利；反映会员的意见、建议，为会员提供服务，帮助解决生产经营中的实际问题。</w:t>
      </w:r>
    </w:p>
    <w:p>
      <w:pPr>
        <w:spacing w:line="580" w:lineRule="exact"/>
        <w:ind w:firstLine="640"/>
        <w:jc w:val="both"/>
      </w:pPr>
      <w:r>
        <w:rPr>
          <w:rFonts w:ascii="仿宋_GB2312" w:hAnsi="仿宋_GB2312" w:eastAsia="仿宋_GB2312"/>
          <w:sz w:val="32"/>
        </w:rPr>
        <w:t>6．加强对外联系，促进经济、技术和贸易合作，协助引进资金、技术、人才。</w:t>
      </w:r>
    </w:p>
    <w:p>
      <w:pPr>
        <w:spacing w:line="580" w:lineRule="exact"/>
        <w:ind w:firstLine="640"/>
        <w:jc w:val="both"/>
      </w:pPr>
      <w:r>
        <w:rPr>
          <w:rFonts w:ascii="仿宋_GB2312" w:hAnsi="仿宋_GB2312" w:eastAsia="仿宋_GB2312"/>
          <w:sz w:val="32"/>
        </w:rPr>
        <w:t>7．开展工商专业培训，帮助会员改善经营管理，提高生产技术和产品质量。</w:t>
      </w:r>
    </w:p>
    <w:p>
      <w:pPr>
        <w:spacing w:line="580" w:lineRule="exact"/>
        <w:ind w:firstLine="640"/>
        <w:jc w:val="both"/>
      </w:pPr>
      <w:r>
        <w:rPr>
          <w:rFonts w:ascii="仿宋_GB2312" w:hAnsi="仿宋_GB2312" w:eastAsia="仿宋_GB2312"/>
          <w:sz w:val="32"/>
        </w:rPr>
        <w:t>8．承担县委、县人民政府授权和交办的其他工作。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吉木萨尔县工商业联合会（商会）无下属预算单位。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2025年度收入总计124.00万元，</w:t>
      </w:r>
      <w:r>
        <w:rPr>
          <w:rFonts w:ascii="仿宋_GB2312" w:hAnsi="仿宋_GB2312" w:eastAsia="仿宋_GB2312"/>
          <w:b w:val="0"/>
          <w:sz w:val="32"/>
        </w:rPr>
        <w:t>其中：本年收入合计124.00万元，使用非财政拨款结余（含专用结余）0.00万元，年初结转和结余0.00万元。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2025年度支出总计124.00万元，</w:t>
      </w:r>
      <w:r>
        <w:rPr>
          <w:rFonts w:ascii="仿宋_GB2312" w:hAnsi="仿宋_GB2312" w:eastAsia="仿宋_GB2312"/>
          <w:b w:val="0"/>
          <w:sz w:val="32"/>
        </w:rPr>
        <w:t>其中：本年支出合计124.00万元，结余分配0.00万元，年末结转和结余0.00万元。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增加10.13万元，增长8.90%，主要原因是：本年在职人员工资调增，社保、公积金基数调增，人员经费增加。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本年收入124.00万元，</w:t>
      </w:r>
      <w:r>
        <w:rPr>
          <w:rFonts w:ascii="仿宋_GB2312" w:hAnsi="仿宋_GB2312" w:eastAsia="仿宋_GB2312"/>
          <w:b w:val="0"/>
          <w:sz w:val="32"/>
        </w:rPr>
        <w:t>其中：财政拨款收入118.39万元，占95.48%；上级补助收入0.00万元，占0.00%；事业收入0.00万元，占0.00%；经营收入0.00万元，占0.00%；附属单位上缴收入0.00万元，占0.00%；其他收入5.60万元，占4.52%。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本年支出124.00万元，</w:t>
      </w:r>
      <w:r>
        <w:rPr>
          <w:rFonts w:ascii="仿宋_GB2312" w:hAnsi="仿宋_GB2312" w:eastAsia="仿宋_GB2312"/>
          <w:b w:val="0"/>
          <w:sz w:val="32"/>
        </w:rPr>
        <w:t>其中：基本支出124.00万元，占100.00%；项目支出0.00万元，占0.00%；上缴上级支出0.00万元，占0.00%；经营支出0.00万元，占0.00%；对附属单位补助支出0.00万元，占0.00%。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2025年度财政拨款收入总计118.39万元，</w:t>
      </w:r>
      <w:r>
        <w:rPr>
          <w:rFonts w:ascii="仿宋_GB2312" w:hAnsi="仿宋_GB2312" w:eastAsia="仿宋_GB2312"/>
          <w:b w:val="0"/>
          <w:sz w:val="32"/>
        </w:rPr>
        <w:t>其中：年初财政拨款结转和结余0.00万元，本年财政拨款收入118.39万元。</w:t>
      </w:r>
      <w:r>
        <w:rPr>
          <w:rFonts w:ascii="仿宋_GB2312" w:hAnsi="仿宋_GB2312" w:eastAsia="仿宋_GB2312"/>
          <w:b/>
          <w:sz w:val="32"/>
        </w:rPr>
        <w:t>财政拨款支出总计118.39万元，</w:t>
      </w:r>
      <w:r>
        <w:rPr>
          <w:rFonts w:ascii="仿宋_GB2312" w:hAnsi="仿宋_GB2312" w:eastAsia="仿宋_GB2312"/>
          <w:b w:val="0"/>
          <w:sz w:val="32"/>
        </w:rPr>
        <w:t>其中：年末财政拨款结转和结余0.00万元，本年财政拨款支出118.39万元。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增加13.01万元，增长12.35%，主要原因是：本年在职人员工资调增，社保、公积金基数调增，人员经费增加。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年初预算数96.49万元，决算数118.39万元，预决算差异率22.70%，主要原因是：年中追加人员类经费，导致预决算存在差异。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一般公共服务支出、社会保障和就业支出、卫生健康支出、住房保障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民主党派及工商联事务（款）行政运行（项）的支出占本年财政拨款支出总额的比重最高，2025年度决算数为85.59万元，占比72.29%，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2025年度一般公共预算财政拨款支出118.39万元，</w:t>
      </w:r>
      <w:r>
        <w:rPr>
          <w:rFonts w:ascii="仿宋_GB2312" w:hAnsi="仿宋_GB2312" w:eastAsia="仿宋_GB2312"/>
          <w:b w:val="0"/>
          <w:sz w:val="32"/>
        </w:rPr>
        <w:t>占本年支出合计的95.48%。</w:t>
      </w:r>
      <w:r>
        <w:rPr>
          <w:rFonts w:ascii="仿宋_GB2312" w:hAnsi="仿宋_GB2312" w:eastAsia="仿宋_GB2312"/>
          <w:b/>
          <w:sz w:val="32"/>
        </w:rPr>
        <w:t>与上年相比，</w:t>
      </w:r>
      <w:r>
        <w:rPr>
          <w:rFonts w:ascii="仿宋_GB2312" w:hAnsi="仿宋_GB2312" w:eastAsia="仿宋_GB2312"/>
          <w:b w:val="0"/>
          <w:sz w:val="32"/>
        </w:rPr>
        <w:t>增加13.01万元，增长12.35%，主要原因是：本年在职人员工资调增，社保、公积金基数调增，人员经费增加。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年初预算数96.49万元，决算数118.39万元，预决算差异率22.70%，主要原因是：年中追加人员类经费，导致预决算存在差异。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1.一般公共服务支出（类）85.59万元，占72.29%。</w:t>
      </w:r>
    </w:p>
    <w:p>
      <w:pPr>
        <w:spacing w:line="580" w:lineRule="exact"/>
        <w:ind w:firstLine="640"/>
        <w:jc w:val="both"/>
      </w:pPr>
      <w:r>
        <w:rPr>
          <w:rFonts w:ascii="仿宋_GB2312" w:hAnsi="仿宋_GB2312" w:eastAsia="仿宋_GB2312"/>
          <w:b w:val="0"/>
          <w:sz w:val="32"/>
        </w:rPr>
        <w:t>2.社会保障和就业支出（类）20.05万元，占16.94%。</w:t>
      </w:r>
    </w:p>
    <w:p>
      <w:pPr>
        <w:spacing w:line="580" w:lineRule="exact"/>
        <w:ind w:firstLine="640"/>
        <w:jc w:val="both"/>
      </w:pPr>
      <w:r>
        <w:rPr>
          <w:rFonts w:ascii="仿宋_GB2312" w:hAnsi="仿宋_GB2312" w:eastAsia="仿宋_GB2312"/>
          <w:b w:val="0"/>
          <w:sz w:val="32"/>
        </w:rPr>
        <w:t>3.卫生健康支出（类）6.45万元，占5.45%。</w:t>
      </w:r>
    </w:p>
    <w:p>
      <w:pPr>
        <w:spacing w:line="580" w:lineRule="exact"/>
        <w:ind w:firstLine="640"/>
        <w:jc w:val="both"/>
      </w:pPr>
      <w:r>
        <w:rPr>
          <w:rFonts w:ascii="仿宋_GB2312" w:hAnsi="仿宋_GB2312" w:eastAsia="仿宋_GB2312"/>
          <w:b w:val="0"/>
          <w:sz w:val="32"/>
        </w:rPr>
        <w:t>4.住房保障支出（类）6.31万元，占5.33%。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1.一般公共服务支出（类）民主党派及工商联事务（款）行政运行（项）：支出决算数为85.59万元，比上年决算增加7.14万元，增长9.10%，主要原因是：本年在职人员工资调增，导致相关人员经费较上年有所增加。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2.科学技术支出（类）科技条件与服务（款）其他科技条件与服务支出（项）：支出决算数为0.00万元，比上年决算减少2.40万元，下降100.00%，主要原因是：本年无其他科技条件与服务支出，故该项减少。</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3.社会保障和就业支出（类）行政事业单位养老支出（款）行政单位离退休（项）：支出决算数为4.29万元，比上年决算增加0.78万元，增长22.22%，主要原因是：本年增加退休人员基础绩效奖，退休费支出增加。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7.78万元，比上年决算增加0.20万元，增长2.64%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7.97万元，比上年决算增加4.39万元，增长122.63%，主要原因是：本年在职人员工资基数调增，职业年金缴费基数上涨，相应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6.卫生健康支出（类）行政事业单位医疗（款）行政单位医疗（项）：支出决算数为4.51万元，比上年决算增加0.49万元，增长12.19%，主要原因是：本年在职人员工资基数调增，医疗缴费基数上涨，相应支出增加。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1.95万元，比上年决算增加1.73万元，增长786.36%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8.住房保障支出（类）住房改革支出（款）住房公积金（项）：支出决算数为6.31万元，比上年决算增加0.69万元，增长12.28%，主要原因是：本年在职人员工资基数调增，公积金缴费基数上涨，相应支出增加。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2025年度一般公共预算财政拨款基本支出118.39万元，其中：</w:t>
      </w:r>
      <w:r>
        <w:rPr>
          <w:rFonts w:ascii="仿宋_GB2312" w:hAnsi="仿宋_GB2312" w:eastAsia="仿宋_GB2312"/>
          <w:b/>
          <w:sz w:val="32"/>
        </w:rPr>
        <w:t>人员经费98.84万元，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公用经费19.55万元，</w:t>
      </w:r>
      <w:r>
        <w:rPr>
          <w:rFonts w:ascii="仿宋_GB2312" w:hAnsi="仿宋_GB2312" w:eastAsia="仿宋_GB2312"/>
          <w:b w:val="0"/>
          <w:sz w:val="32"/>
        </w:rPr>
        <w:t>包括：办公费、印刷费、水费、邮电费、差旅费、维修（护）费、劳务费、工会经费、其他交通费用、其他商品和服务支出、办公设备购置。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单位业务用车，公务用车运行维护费由机关事务中心统一安排。</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2025年度吉木萨尔县工商业联合会（商会）（行政单位和参照公务员法管理事业单位）机关运行经费支出19.55万元，比上年减少2.59万元，下降11.70%，主要原因是：严控经费支出，厉行节约，减少经费支出。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2025年度政府采购支出总额2.16万元，其中：政府采购货物支出2.16万元、政府采购工程支出0.00万元、政府采购服务支出0.00万元。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授予中小企业合同金额2.16万元，占政府采购支出总额的100.00%，其中：授予小微企业合同金额2.07万元，占政府采购支出总额的95.83%。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1辆，价值11.79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123.99万元，实际执行总额123.99万元；预算绩效评价项目0个，全年预算数0.00万元，全年执行数0.00万元。预算绩效管理取得的成效：一是：健全政企沟通机制，联合发改委梳理企业台账，牵头制定《吉木萨尔县党政领导干部联系企业方案》，搭建高效政企互动平台。联合金融办组织政银企对接会2次，促成15家企业与8家金融机构合作；民营企业座谈会2次，组织民营企业开展交流联谊活动2场次，促进交流合作推动政策落地与问题解决。二是：能力提升与维权保障并行，组织7名企业家赴闽浙参加高级管理培训，搭建跨区域合作桥梁；联合县公安局成立警企联络室，提供精准法律咨询与援助，构建公平竞争的市场环境。三是：加速新商会培育组建，聚焦特色产业发展需求，班子成员带队对接商工局、市监局等部门，完成50家涉农市场主体摸排登记，已确定核心候选人及配套制度，于12月顺利成立吉木萨尔县农副产品行业商会。牵头推进乡镇商会重组，联合3个乡镇党委政府及市监局，吸纳50家个体工商户会员，于9月成功完成三台商会重组选举，健全组织架构与运行机制。四是：深化理论武装凝聚共识，积极构建“党组中心组+党员大会+干部职工+企业党组织”四级学习体系，班子成员带头落实学习责任，全年组织党组理论学习中心组学习12次、党员大会学习15次，带动干部职工开展集中学习44次、交流研讨12次。按照“专题研学+外出考察+线上培训”三维学习模式，组织50余名民营经济人士专题学习近平总书记重要讲话精神，选派10名年轻企业家赴福建、浙江考察，推动理论学习与实践发展深度融合。发现的问题及原因：一是统筹协调力度有待加强，县领导联系企业制度落实督促不够有力，深入企业调研频次不足，服务供给精准性需提升；二是商会建设推进不均衡，新兴行业商会培育缓慢，部分商会运行活力不足。根源在于班子对基层需求研判不够深入，工作创新力度有待加大。下一步改进措施：一是强化统筹调度，压实县领导联系企业责任，加大督促落实力度，增加实地调研频次，精准对接企业需求，提升服务针对性。二是优化商会布局，加快新兴行业商会组建培育，推动商会均衡发展，健全运行机制，激发商会活力与履职效能。三是深入研判基层实际，常态化走访摸排，精准掌握诉求，创新工作方式方法，提升整体工作质效。具体附整体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吉木萨尔县工商业联合会（商会）</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96.49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118.39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118.39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236.98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247.98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247.98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236.98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247.98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247.98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深化民营经济人士理想信念教育，引导民营经济人士坚定“四个自信”，争当爱国敬业、守法经营、创业创新、回报社会的典范；守牢意识形态主阵地，严格落实民营经济领域意识形态工作责任制，举办党务干部培训班1期；搭建桥梁纽带，助力优化营商环境。不断完善和改进政企对接机制，主动帮助企业协调解决普遍性问题和个性化难题；积极推动招商引资，做好企业投资服务，发挥商会招商引资主力军作用，引导服务民营企业“走出去”，宣传吉木萨尔、宣传政策、推荐项目，组织非公企业党组织开展互比互学互看1次，发展会员30家，组织企业家外出考察学习活动1次，举行政企对接座谈会1次；着力营造宜商惠商的政策环境，加强调查研究和系统分析，科学研判我县民营经济发展趋势变化，形成更多高质量、有针对性地政协提案、社情民意，协同推动政策落细落实；加强商会规范化建设，有序扩大商会组织覆盖和会员覆盖，规范会员发展报告制度，举办民营企业高质量发展培训班1次。加强民营经济领域党建工作，履行好对所属商会党建工作全面从严治党的主体责任，参与民营企业党建工作；积极引导民营企业履行社会责任，充分发挥工商联组织优势、特殊资源优势，推动民营企业履行社会责任品牌化、常态化、标准化、平台化。</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124万元，全年实际支出资金124万元，预算执行率为100%，县工商联班子在县委、县政府的正确领导和州工商联的悉心指导下，以习近平新时代中国特色社会主义思想为指导，深入学习贯彻党的二十大及二十届三中、四中全会精神，锚定“两个健康”工作主题，以巩固全国“五好”县级工商联创建成果为核心目标，团结带领全体干部职工务实创新、协同发力，推动各项工作取得阶段性成效。联合发改委梳理企业台账，牵头制定《吉木萨尔县党政领导干部联系企业方案》，搭建高效政企互动平台。联合金融办组织政银企对接会2次，促成15家企业与8家金融机构合作；民营企业座谈会2次，组织民营企业开展交流联谊活动2场次，促进交流合作推动政策落地与问题解决。按照“专题研学+外出考察+线上培训”三维学习模式，组织50余名民营经济人士专题学习习近平总书记重要讲话精神，选派10名年轻企业家赴福建、浙江考察，推动理论学习与实践发展深度融合。班子成员分片联系指导21个民营企业党组织，组织开展红色教育、参观学习等活动10余场次。牵头推进乡镇商会重组，联合3个乡镇党委政府及市监局，吸纳50家个体工商户会员。</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举办党务干部培训班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吉木萨尔县工商联2024年工作总结及2025年工作计划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组织非公企业党组织开展互比互学互看</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吉木萨尔县工商联2024年工作总结及2025年工作计划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发展会员</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&gt;=30家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吉木萨尔县工商联2024年工作总结及2025年工作计划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组织企业家外出考察学习活动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吉木萨尔县工商联2024年工作总结及2025年工作计划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举行政企对接座谈会</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吉木萨尔县工商联2024年工作总结及2025年工作计划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举办民营企业高质量发展培训班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吉木萨尔县工商联2024年工作总结及2025年工作计划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