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吉木萨尔县商务和工业信息化局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（一）贯彻执行国家、县、自治州有关内外贸易经济技术合作和外商投资政策、法规；研究“一带一路”建设、区域经济合作、现代流通方式的发展趋势和流通体制改革并提出建议。</w:t>
      </w:r>
    </w:p>
    <w:p>
      <w:pPr>
        <w:spacing w:line="580" w:lineRule="exact"/>
        <w:ind w:firstLine="640"/>
        <w:jc w:val="both"/>
      </w:pPr>
      <w:r>
        <w:rPr>
          <w:rFonts w:ascii="仿宋_GB2312" w:hAnsi="仿宋_GB2312" w:eastAsia="仿宋_GB2312"/>
          <w:sz w:val="32"/>
        </w:rPr>
        <w:t>（二）贯彻执行国家、县工业和信息化的法律法规和方针政策，提出自治州工业和信息化发展规划和政策建议；拟定工业和信息化发展的政策措施，并组织实施和监督检查；协调和解决工业信息化进程中的重大问题。</w:t>
      </w:r>
    </w:p>
    <w:p>
      <w:pPr>
        <w:spacing w:line="580" w:lineRule="exact"/>
        <w:ind w:firstLine="640"/>
        <w:jc w:val="both"/>
      </w:pPr>
      <w:r>
        <w:rPr>
          <w:rFonts w:ascii="仿宋_GB2312" w:hAnsi="仿宋_GB2312" w:eastAsia="仿宋_GB2312"/>
          <w:sz w:val="32"/>
        </w:rPr>
        <w:t>（三）贯彻落实国家、县和自治州产业政策，并组织实施和监督检查；指导产业合理布局和结构调整；组织协调重点产业调整和高质量发展规划的拟订与实施。</w:t>
      </w:r>
    </w:p>
    <w:p>
      <w:pPr>
        <w:spacing w:line="580" w:lineRule="exact"/>
        <w:ind w:firstLine="640"/>
        <w:jc w:val="both"/>
      </w:pPr>
      <w:r>
        <w:rPr>
          <w:rFonts w:ascii="仿宋_GB2312" w:hAnsi="仿宋_GB2312" w:eastAsia="仿宋_GB2312"/>
          <w:sz w:val="32"/>
        </w:rPr>
        <w:t>（四）负责推进流通产业结构调整，指导流通企业改革、商贸服务业和社区商业发展，提出促进商贸中小企业发展的政策建议，推动流通标准化和连锁经营、商业特许经营、物流配送、电子商务等现代流通方式的发展。</w:t>
      </w:r>
    </w:p>
    <w:p>
      <w:pPr>
        <w:spacing w:line="580" w:lineRule="exact"/>
        <w:ind w:firstLine="640"/>
        <w:jc w:val="both"/>
      </w:pPr>
      <w:r>
        <w:rPr>
          <w:rFonts w:ascii="仿宋_GB2312" w:hAnsi="仿宋_GB2312" w:eastAsia="仿宋_GB2312"/>
          <w:sz w:val="32"/>
        </w:rPr>
        <w:t>（五）指导大宗产品批发市场规划和城市商业网点规划、商业体系建设工作；研究提出流通行业和生活服务业重点设施布局意见，协调吉木萨尔县商业中心、特色商业街和各类商品交易市场的规划和建设。</w:t>
      </w:r>
    </w:p>
    <w:p>
      <w:pPr>
        <w:spacing w:line="580" w:lineRule="exact"/>
        <w:ind w:firstLine="640"/>
        <w:jc w:val="both"/>
      </w:pPr>
      <w:r>
        <w:rPr>
          <w:rFonts w:ascii="仿宋_GB2312" w:hAnsi="仿宋_GB2312" w:eastAsia="仿宋_GB2312"/>
          <w:sz w:val="32"/>
        </w:rPr>
        <w:t>（六）承担牵头协调整顿和规范市场经济秩序工作的责任。根据国家县、自治州拟定的规范市场运行、流通秩序的政策，推动商务领域信用建设，指导商业信用销售；建立市场诚信公共服务平台，按有关规定对吉木萨尔县酒类流通、再生资源流通等特殊流通行业进行监督管理。</w:t>
      </w:r>
    </w:p>
    <w:p>
      <w:pPr>
        <w:spacing w:line="580" w:lineRule="exact"/>
        <w:ind w:firstLine="640"/>
        <w:jc w:val="both"/>
      </w:pPr>
      <w:r>
        <w:rPr>
          <w:rFonts w:ascii="仿宋_GB2312" w:hAnsi="仿宋_GB2312" w:eastAsia="仿宋_GB2312"/>
          <w:sz w:val="32"/>
        </w:rPr>
        <w:t>（七）承担组织实施重要消费品市场调控和重要生产资料流通管理的责任，负责建立健全生活必需品市场供应急管理机制，监测分析市场运行、商品供应状况，调查分析商品价格信息并进行预测预警和信息引导；按分工负责重要消费品储备管理和市场调控工作；按有关规定对成品油流通环节进行监督管理。</w:t>
      </w:r>
    </w:p>
    <w:p>
      <w:pPr>
        <w:spacing w:line="580" w:lineRule="exact"/>
        <w:ind w:firstLine="640"/>
        <w:jc w:val="both"/>
      </w:pPr>
      <w:r>
        <w:rPr>
          <w:rFonts w:ascii="仿宋_GB2312" w:hAnsi="仿宋_GB2312" w:eastAsia="仿宋_GB2312"/>
          <w:sz w:val="32"/>
        </w:rPr>
        <w:t>（八）制定电子商务发展规划和政策措施并组织实施；指导企业信息化及运用电子商务开拓国内外市场；负责建立电子商务行业统计和评价体系，牵头推进电子商务支撑服务体系发展，负责县域内电子商务的运营监督及管理工作。</w:t>
      </w:r>
    </w:p>
    <w:p>
      <w:pPr>
        <w:spacing w:line="580" w:lineRule="exact"/>
        <w:ind w:firstLine="640"/>
        <w:jc w:val="both"/>
      </w:pPr>
      <w:r>
        <w:rPr>
          <w:rFonts w:ascii="仿宋_GB2312" w:hAnsi="仿宋_GB2312" w:eastAsia="仿宋_GB2312"/>
          <w:sz w:val="32"/>
        </w:rPr>
        <w:t>（九）负责对外贸易的管理。贯彻执行国家、县和自治州进出口商品、加工贸易管理办法和进出口管理商品、技术目录，拟订促进外贸增长方式转变的政策措施；组织实施本县进出口配额，贯彻落实国家、县和自治对外技术贸易、出口管制以及鼓励技术和成套设备进出口的贸易政策；会同有关部门制定促进本县服务贸易和服务外包发展的规划并组织实施；推动服务外包平台建设；组织协调本县反倾销、反补贴、保障措施及其他与进出口公平贸易相关的工作，建立进出口公平贸易及产业损害预警机制；依法实施对外贸易调查和产业损害调查，指导协调产业安全应对工作及国外对本县出口商品的反倾销、反补贴、保障措施的应诉等相关工作。</w:t>
      </w:r>
    </w:p>
    <w:p>
      <w:pPr>
        <w:spacing w:line="580" w:lineRule="exact"/>
        <w:ind w:firstLine="640"/>
        <w:jc w:val="both"/>
      </w:pPr>
      <w:r>
        <w:rPr>
          <w:rFonts w:ascii="仿宋_GB2312" w:hAnsi="仿宋_GB2312" w:eastAsia="仿宋_GB2312"/>
          <w:sz w:val="32"/>
        </w:rPr>
        <w:t>（十）负责招商引资工作的协调、组织、管理；执行县和自治州招商引资方针政策，编制招商引资发展规划和年度JH，建设绿色招商项目库，落实重大招商项目跟进责任制，参与评审论证重点招商项目，完善招商引资服务体系；负责招商引资统计通报、信息收集和目标考核等工作。</w:t>
      </w:r>
    </w:p>
    <w:p>
      <w:pPr>
        <w:spacing w:line="580" w:lineRule="exact"/>
        <w:ind w:firstLine="640"/>
        <w:jc w:val="both"/>
      </w:pPr>
      <w:r>
        <w:rPr>
          <w:rFonts w:ascii="仿宋_GB2312" w:hAnsi="仿宋_GB2312" w:eastAsia="仿宋_GB2312"/>
          <w:sz w:val="32"/>
        </w:rPr>
        <w:t>（十一）负责外商投资工作；依法核准权限内外商投资企业的设立、合同、章程及变更事项；负责国家规定的限额以上、限制投资和涉及配额、许可证管理的外商投资企业的设立及其变更事项的审核上报工作；负责管理、监督本县外商投资企业执行有关法律、法规、合同情况。负责对外经济合作工作，执行对外经济合作政策，指导和监督本县境外承包工程及对外劳务合作；审核上报吉木萨尔县企业（组织）在境外投资项目和驻外机构，协调外派劳务人员的权益保护工作；申报多边、双边国际及民间无偿援助项目。</w:t>
      </w:r>
    </w:p>
    <w:p>
      <w:pPr>
        <w:spacing w:line="580" w:lineRule="exact"/>
        <w:ind w:firstLine="640"/>
        <w:jc w:val="both"/>
      </w:pPr>
      <w:r>
        <w:rPr>
          <w:rFonts w:ascii="仿宋_GB2312" w:hAnsi="仿宋_GB2312" w:eastAsia="仿宋_GB2312"/>
          <w:sz w:val="32"/>
        </w:rPr>
        <w:t>（十二）负责与县各地州县及内地各省市之间的横向经济联合协作。开展外引内联、对口支援及有关项目的对接落实工作；组织和参与各类商务领域交易会、洽谈会、博览会、展览会和有关招商活动。</w:t>
      </w:r>
    </w:p>
    <w:p>
      <w:pPr>
        <w:spacing w:line="580" w:lineRule="exact"/>
        <w:ind w:firstLine="640"/>
        <w:jc w:val="both"/>
      </w:pPr>
      <w:r>
        <w:rPr>
          <w:rFonts w:ascii="仿宋_GB2312" w:hAnsi="仿宋_GB2312" w:eastAsia="仿宋_GB2312"/>
          <w:sz w:val="32"/>
        </w:rPr>
        <w:t>（十三）承担工业经济运行态势监测分析、预测预警和信息引导工作；拟订工业经济运行调控目标、政策措施；协调解决工业经济运行中的重大问题并提出政策建议；负责全县能源保障和重要工业物资供需协调有关工作；负责协调油地关系，地方涉油企业的管理；负责工业经济运行和产业安全有关工作。</w:t>
      </w:r>
    </w:p>
    <w:p>
      <w:pPr>
        <w:spacing w:line="580" w:lineRule="exact"/>
        <w:ind w:firstLine="640"/>
        <w:jc w:val="both"/>
      </w:pPr>
      <w:r>
        <w:rPr>
          <w:rFonts w:ascii="仿宋_GB2312" w:hAnsi="仿宋_GB2312" w:eastAsia="仿宋_GB2312"/>
          <w:sz w:val="32"/>
        </w:rPr>
        <w:t>（十四）负责工业和信息化领域各行业的管理，组织拟订行业专项规划，并组织实施技术规范和标准；贯彻盐业行业发展规划和政策措施，负责盐业行业管理；协调保障煤、电、油、气、运等重要生产要素的供需平衡，支持石油天然气生产建设；负责园区设立、创建和申报县和自治州园区专项资金协调工作；贯彻国家、县和自治州关于原材料行业规范和准入，指导冶金、有色金属、黄金、稀土、轻工、纺织、机电、建材等行业管理。负责食品（含酒类）、医药工业发展规划相关政策的拟订和组织实施。</w:t>
      </w:r>
    </w:p>
    <w:p>
      <w:pPr>
        <w:spacing w:line="580" w:lineRule="exact"/>
        <w:ind w:firstLine="640"/>
        <w:jc w:val="both"/>
      </w:pPr>
      <w:r>
        <w:rPr>
          <w:rFonts w:ascii="仿宋_GB2312" w:hAnsi="仿宋_GB2312" w:eastAsia="仿宋_GB2312"/>
          <w:sz w:val="32"/>
        </w:rPr>
        <w:t>（十五）负责工业和信息产业及信息化建设的技术改造投资管理，负责技术改造和投资项目审核、备案；拟订技术改造投资的有关政策措施；研究和规划本行政区域内技术改造项目投资方向和布局，引导企业、金融机构及社会资金投向。</w:t>
      </w:r>
    </w:p>
    <w:p>
      <w:pPr>
        <w:spacing w:line="580" w:lineRule="exact"/>
        <w:ind w:firstLine="640"/>
        <w:jc w:val="both"/>
      </w:pPr>
      <w:r>
        <w:rPr>
          <w:rFonts w:ascii="仿宋_GB2312" w:hAnsi="仿宋_GB2312" w:eastAsia="仿宋_GB2312"/>
          <w:sz w:val="32"/>
        </w:rPr>
        <w:t>（十六）拟订工业和信息化领域技术创新政策措施；培育和发展战略性新兴产业；拟订装备工业发展规划及政策措施；负责推进装备制造产业发展工作。</w:t>
      </w:r>
    </w:p>
    <w:p>
      <w:pPr>
        <w:spacing w:line="580" w:lineRule="exact"/>
        <w:ind w:firstLine="640"/>
        <w:jc w:val="both"/>
      </w:pPr>
      <w:r>
        <w:rPr>
          <w:rFonts w:ascii="仿宋_GB2312" w:hAnsi="仿宋_GB2312" w:eastAsia="仿宋_GB2312"/>
          <w:sz w:val="32"/>
        </w:rPr>
        <w:t>（十七）指导工业和信息化领域体制改革和管理创新；拟订促进中小企业发展的相关政策措施，负责对中小企业的宏观指导和服务，指导中小企业改革与发展，建立健全服务体系；负责工业和信息化领域人员的培训工作；负责组织协调减轻企业负担工作。</w:t>
      </w:r>
    </w:p>
    <w:p>
      <w:pPr>
        <w:spacing w:line="580" w:lineRule="exact"/>
        <w:ind w:firstLine="640"/>
        <w:jc w:val="both"/>
      </w:pPr>
      <w:r>
        <w:rPr>
          <w:rFonts w:ascii="仿宋_GB2312" w:hAnsi="仿宋_GB2312" w:eastAsia="仿宋_GB2312"/>
          <w:sz w:val="32"/>
        </w:rPr>
        <w:t>（十八）贯彻落实工业和信息化领域资源节约和综合利用规划、政策；指导工业节能减排综合协调和监督管理工作；指导工业和信息化领域循环经济发展；协调工业和信息化领域清洁生产和节能环保产业发展工作。</w:t>
      </w:r>
    </w:p>
    <w:p>
      <w:pPr>
        <w:spacing w:line="580" w:lineRule="exact"/>
        <w:ind w:firstLine="640"/>
        <w:jc w:val="both"/>
      </w:pPr>
      <w:r>
        <w:rPr>
          <w:rFonts w:ascii="仿宋_GB2312" w:hAnsi="仿宋_GB2312" w:eastAsia="仿宋_GB2312"/>
          <w:sz w:val="32"/>
        </w:rPr>
        <w:t>（十九）负责民爆行业管理；依据管理权限，对民用爆炸物品生产、销售依法进行监督管理。配合有关部门指导工业领域相关行业的安全生产工作。</w:t>
      </w:r>
    </w:p>
    <w:p>
      <w:pPr>
        <w:spacing w:line="580" w:lineRule="exact"/>
        <w:ind w:firstLine="640"/>
        <w:jc w:val="both"/>
      </w:pPr>
      <w:r>
        <w:rPr>
          <w:rFonts w:ascii="仿宋_GB2312" w:hAnsi="仿宋_GB2312" w:eastAsia="仿宋_GB2312"/>
          <w:sz w:val="32"/>
        </w:rPr>
        <w:t>（二十）组织执行国家、县和自治州电力行业技术规范和标准；负责权限范围内的电力行政执法、监督；负责制定年度电力行业运行调控目标；组织协调解决电力生产、运营和供应中的重大问题；指导电力调度工作。</w:t>
      </w:r>
    </w:p>
    <w:p>
      <w:pPr>
        <w:spacing w:line="580" w:lineRule="exact"/>
        <w:ind w:firstLine="640"/>
        <w:jc w:val="both"/>
      </w:pPr>
      <w:r>
        <w:rPr>
          <w:rFonts w:ascii="仿宋_GB2312" w:hAnsi="仿宋_GB2312" w:eastAsia="仿宋_GB2312"/>
          <w:sz w:val="32"/>
        </w:rPr>
        <w:t>（二十一）负责推进信息化工作；指导协调经济社会各领域信息技术的推广应用工作；推进跨行业、跨部门面向社会服务的互联互通及重要信息资源开发利用和共享；协调本行政区域内通信业有关工作；推进信息化和工业化融合；统筹指导工业信息安全管理工作。</w:t>
      </w:r>
    </w:p>
    <w:p>
      <w:pPr>
        <w:spacing w:line="580" w:lineRule="exact"/>
        <w:ind w:firstLine="640"/>
        <w:jc w:val="both"/>
      </w:pPr>
      <w:r>
        <w:rPr>
          <w:rFonts w:ascii="仿宋_GB2312" w:hAnsi="仿宋_GB2312" w:eastAsia="仿宋_GB2312"/>
          <w:sz w:val="32"/>
        </w:rPr>
        <w:t>（二十二）指导电子信息产业的发展；指导电子信息产品制造业、软件业、信息服务业发展；指导电子信息产业基地建设；协调电子信息产业重大专项实施。</w:t>
      </w:r>
    </w:p>
    <w:p>
      <w:pPr>
        <w:spacing w:line="580" w:lineRule="exact"/>
        <w:ind w:firstLine="640"/>
        <w:jc w:val="both"/>
      </w:pPr>
      <w:r>
        <w:rPr>
          <w:rFonts w:ascii="仿宋_GB2312" w:hAnsi="仿宋_GB2312" w:eastAsia="仿宋_GB2312"/>
          <w:sz w:val="32"/>
        </w:rPr>
        <w:t>（二十三）完成县党委、县人民政府交办的其他任务。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吉木萨尔县商务和工业信息化局无下属预算单位。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2025年度收入总计7,409.37万元，</w:t>
      </w:r>
      <w:r>
        <w:rPr>
          <w:rFonts w:ascii="仿宋_GB2312" w:hAnsi="仿宋_GB2312" w:eastAsia="仿宋_GB2312"/>
          <w:b w:val="0"/>
          <w:sz w:val="32"/>
        </w:rPr>
        <w:t>其中：本年收入合计7,343.79万元，使用非财政拨款结余（含专用结余）0.00万元，年初结转和结余65.58万元。</w:t>
      </w:r>
    </w:p>
    <w:p>
      <w:pPr>
        <w:spacing w:line="580" w:lineRule="exact"/>
        <w:ind w:firstLine="640"/>
        <w:jc w:val="both"/>
      </w:pPr>
      <w:r>
        <w:rPr>
          <w:rFonts w:ascii="仿宋_GB2312" w:hAnsi="仿宋_GB2312" w:eastAsia="仿宋_GB2312"/>
          <w:b/>
          <w:sz w:val="32"/>
        </w:rPr>
        <w:t>2025年度支出总计7,409.37万元，</w:t>
      </w:r>
      <w:r>
        <w:rPr>
          <w:rFonts w:ascii="仿宋_GB2312" w:hAnsi="仿宋_GB2312" w:eastAsia="仿宋_GB2312"/>
          <w:b w:val="0"/>
          <w:sz w:val="32"/>
        </w:rPr>
        <w:t>其中：本年支出合计7,352.87万元，结余分配0.00万元，年末结转和结余56.50万元。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增加3,349.79万元，增长82.52%，主要原因是：本年度商务促销奖励和工业补助补贴拨款增加，主要关于下达污染治理专项2025年第二批中央基建投资预算。</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本年收入7,343.79万元，</w:t>
      </w:r>
      <w:r>
        <w:rPr>
          <w:rFonts w:ascii="仿宋_GB2312" w:hAnsi="仿宋_GB2312" w:eastAsia="仿宋_GB2312"/>
          <w:b w:val="0"/>
          <w:sz w:val="32"/>
        </w:rPr>
        <w:t>其中：财政拨款收入7,245.26万元，占98.66%；上级补助收入0.00万元，占0.00%；事业收入0.00万元，占0.00%；经营收入0.00万元，占0.00%；附属单位上缴收入0.00万元，占0.00%；其他收入98.53万元，占1.34%。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本年支出7,352.87万元，</w:t>
      </w:r>
      <w:r>
        <w:rPr>
          <w:rFonts w:ascii="仿宋_GB2312" w:hAnsi="仿宋_GB2312" w:eastAsia="仿宋_GB2312"/>
          <w:b w:val="0"/>
          <w:sz w:val="32"/>
        </w:rPr>
        <w:t>其中：基本支出881.44万元，占11.99%；项目支出6,471.43万元，占88.01%；上缴上级支出0.00万元，占0.00%；经营支出0.00万元，占0.00%；对附属单位补助支出0.00万元，占0.00%。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2025年度财政拨款收入总计7,245.26万元，</w:t>
      </w:r>
      <w:r>
        <w:rPr>
          <w:rFonts w:ascii="仿宋_GB2312" w:hAnsi="仿宋_GB2312" w:eastAsia="仿宋_GB2312"/>
          <w:b w:val="0"/>
          <w:sz w:val="32"/>
        </w:rPr>
        <w:t>其中：年初财政拨款结转和结余0.00万元，本年财政拨款收入7,245.26万元。</w:t>
      </w:r>
      <w:r>
        <w:rPr>
          <w:rFonts w:ascii="仿宋_GB2312" w:hAnsi="仿宋_GB2312" w:eastAsia="仿宋_GB2312"/>
          <w:b/>
          <w:sz w:val="32"/>
        </w:rPr>
        <w:t>财政拨款支出总计7,245.26万元，</w:t>
      </w:r>
      <w:r>
        <w:rPr>
          <w:rFonts w:ascii="仿宋_GB2312" w:hAnsi="仿宋_GB2312" w:eastAsia="仿宋_GB2312"/>
          <w:b w:val="0"/>
          <w:sz w:val="32"/>
        </w:rPr>
        <w:t>其中：年末财政拨款结转和结余0.00万元，本年财政拨款支出7,245.26万元。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增加3,255.76万元，增长81.61%，主要原因是：本年度商务促销奖励和工业补助补贴财政拨款增加，主要关于下达污染治理专项2025年第二批中央基建投资预算。</w:t>
      </w:r>
      <w:r>
        <w:rPr>
          <w:rFonts w:ascii="仿宋_GB2312" w:hAnsi="仿宋_GB2312" w:eastAsia="仿宋_GB2312"/>
          <w:b/>
          <w:sz w:val="32"/>
        </w:rPr>
        <w:t>与年初预算相比，</w:t>
      </w:r>
      <w:r>
        <w:rPr>
          <w:rFonts w:ascii="仿宋_GB2312" w:hAnsi="仿宋_GB2312" w:eastAsia="仿宋_GB2312"/>
          <w:b w:val="0"/>
          <w:sz w:val="32"/>
        </w:rPr>
        <w:t>年初预算数2,224.69万元，决算数7,245.26万元，预决算差异率225.68%，主要原因是：本年度项目相关追加预算，例如节能环保、商贸促消费等重点项目预算。</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工业发展服务，油田服务等重点支出，体现在有关支出科目中。</w:t>
      </w:r>
    </w:p>
    <w:p>
      <w:pPr>
        <w:spacing w:line="580" w:lineRule="exact"/>
        <w:ind w:firstLine="640"/>
        <w:jc w:val="both"/>
      </w:pPr>
      <w:r>
        <w:rPr>
          <w:rFonts w:ascii="仿宋_GB2312" w:hAnsi="仿宋_GB2312" w:eastAsia="仿宋_GB2312"/>
          <w:b w:val="0"/>
          <w:sz w:val="32"/>
        </w:rPr>
        <w:t>按照支出功能分类，节能环保支出（类）污染防治（款）固体废弃物与化学品（项）的支出占本年财政拨款支出总额的比重最高，2025年度决算数为2,200.00万元，占比30.36%，主要用于关于下达污染治理专项2025年第二批中央基建投资预算。</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2025年度一般公共预算财政拨款支出7,016.31万元，</w:t>
      </w:r>
      <w:r>
        <w:rPr>
          <w:rFonts w:ascii="仿宋_GB2312" w:hAnsi="仿宋_GB2312" w:eastAsia="仿宋_GB2312"/>
          <w:b w:val="0"/>
          <w:sz w:val="32"/>
        </w:rPr>
        <w:t>占本年支出合计的95.42%。</w:t>
      </w:r>
      <w:r>
        <w:rPr>
          <w:rFonts w:ascii="仿宋_GB2312" w:hAnsi="仿宋_GB2312" w:eastAsia="仿宋_GB2312"/>
          <w:b/>
          <w:sz w:val="32"/>
        </w:rPr>
        <w:t>与上年相比，</w:t>
      </w:r>
      <w:r>
        <w:rPr>
          <w:rFonts w:ascii="仿宋_GB2312" w:hAnsi="仿宋_GB2312" w:eastAsia="仿宋_GB2312"/>
          <w:b w:val="0"/>
          <w:sz w:val="32"/>
        </w:rPr>
        <w:t>增加4,436.96万元，增长172.02%，主要原因是：本年度商务促销奖励和工业补助补贴拨款增加，主要关于下达污染治理专项2025年第二批中央基建投资预算。</w:t>
      </w:r>
      <w:r>
        <w:rPr>
          <w:rFonts w:ascii="仿宋_GB2312" w:hAnsi="仿宋_GB2312" w:eastAsia="仿宋_GB2312"/>
          <w:b/>
          <w:sz w:val="32"/>
        </w:rPr>
        <w:t>与年初预算相比，</w:t>
      </w:r>
      <w:r>
        <w:rPr>
          <w:rFonts w:ascii="仿宋_GB2312" w:hAnsi="仿宋_GB2312" w:eastAsia="仿宋_GB2312"/>
          <w:b w:val="0"/>
          <w:sz w:val="32"/>
        </w:rPr>
        <w:t>年初预算数1,634.84万元，决算数7,016.31万元，预决算差异率329.17%，主要原因是：本年度商务促销奖励和工业补助补贴拨款增加，主要关于下达污染治理专项2025年第二批中央基建投资预算。</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1.一般公共服务支出（类）1,395.14万元，占19.88%。</w:t>
      </w:r>
    </w:p>
    <w:p>
      <w:pPr>
        <w:spacing w:line="580" w:lineRule="exact"/>
        <w:ind w:firstLine="640"/>
        <w:jc w:val="both"/>
      </w:pPr>
      <w:r>
        <w:rPr>
          <w:rFonts w:ascii="仿宋_GB2312" w:hAnsi="仿宋_GB2312" w:eastAsia="仿宋_GB2312"/>
          <w:b w:val="0"/>
          <w:sz w:val="32"/>
        </w:rPr>
        <w:t>2.科学技术支出（类）22.74万元，占0.32%。</w:t>
      </w:r>
    </w:p>
    <w:p>
      <w:pPr>
        <w:spacing w:line="580" w:lineRule="exact"/>
        <w:ind w:firstLine="640"/>
        <w:jc w:val="both"/>
      </w:pPr>
      <w:r>
        <w:rPr>
          <w:rFonts w:ascii="仿宋_GB2312" w:hAnsi="仿宋_GB2312" w:eastAsia="仿宋_GB2312"/>
          <w:b w:val="0"/>
          <w:sz w:val="32"/>
        </w:rPr>
        <w:t>3.社会保障和就业支出（类）130.06万元，占1.85%。</w:t>
      </w:r>
    </w:p>
    <w:p>
      <w:pPr>
        <w:spacing w:line="580" w:lineRule="exact"/>
        <w:ind w:firstLine="640"/>
        <w:jc w:val="both"/>
      </w:pPr>
      <w:r>
        <w:rPr>
          <w:rFonts w:ascii="仿宋_GB2312" w:hAnsi="仿宋_GB2312" w:eastAsia="仿宋_GB2312"/>
          <w:b w:val="0"/>
          <w:sz w:val="32"/>
        </w:rPr>
        <w:t>4.卫生健康支出（类）44.43万元，占0.63%。</w:t>
      </w:r>
    </w:p>
    <w:p>
      <w:pPr>
        <w:spacing w:line="580" w:lineRule="exact"/>
        <w:ind w:firstLine="640"/>
        <w:jc w:val="both"/>
      </w:pPr>
      <w:r>
        <w:rPr>
          <w:rFonts w:ascii="仿宋_GB2312" w:hAnsi="仿宋_GB2312" w:eastAsia="仿宋_GB2312"/>
          <w:b w:val="0"/>
          <w:sz w:val="32"/>
        </w:rPr>
        <w:t>5.节能环保支出（类）3,601.00万元，占51.32%。</w:t>
      </w:r>
    </w:p>
    <w:p>
      <w:pPr>
        <w:spacing w:line="580" w:lineRule="exact"/>
        <w:ind w:firstLine="640"/>
        <w:jc w:val="both"/>
      </w:pPr>
      <w:r>
        <w:rPr>
          <w:rFonts w:ascii="仿宋_GB2312" w:hAnsi="仿宋_GB2312" w:eastAsia="仿宋_GB2312"/>
          <w:b w:val="0"/>
          <w:sz w:val="32"/>
        </w:rPr>
        <w:t>6.资源勘探工业信息等支出（类）950.00万元，占13.54%。</w:t>
      </w:r>
    </w:p>
    <w:p>
      <w:pPr>
        <w:spacing w:line="580" w:lineRule="exact"/>
        <w:ind w:firstLine="640"/>
        <w:jc w:val="both"/>
      </w:pPr>
      <w:r>
        <w:rPr>
          <w:rFonts w:ascii="仿宋_GB2312" w:hAnsi="仿宋_GB2312" w:eastAsia="仿宋_GB2312"/>
          <w:b w:val="0"/>
          <w:sz w:val="32"/>
        </w:rPr>
        <w:t>7.商业服务业等支出（类）829.86万元，占11.83%。</w:t>
      </w:r>
    </w:p>
    <w:p>
      <w:pPr>
        <w:spacing w:line="580" w:lineRule="exact"/>
        <w:ind w:firstLine="640"/>
        <w:jc w:val="both"/>
      </w:pPr>
      <w:r>
        <w:rPr>
          <w:rFonts w:ascii="仿宋_GB2312" w:hAnsi="仿宋_GB2312" w:eastAsia="仿宋_GB2312"/>
          <w:b w:val="0"/>
          <w:sz w:val="32"/>
        </w:rPr>
        <w:t>8.住房保障支出（类）43.08万元，占0.61%。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1.一般公共服务支出（类）商贸事务（款）行政运行（项）：支出决算数为292.25万元，比上年决算减少118.87万元，下降28.91%，主要原因是：本年度压缩机关日常公用经费支出，差旅费等开支减少。</w:t>
      </w:r>
    </w:p>
    <w:p>
      <w:pPr>
        <w:spacing w:line="580" w:lineRule="exact"/>
        <w:ind w:firstLine="640"/>
        <w:jc w:val="both"/>
      </w:pPr>
      <w:r>
        <w:rPr>
          <w:rFonts w:ascii="仿宋_GB2312" w:hAnsi="仿宋_GB2312" w:eastAsia="仿宋_GB2312"/>
          <w:b w:val="0"/>
          <w:sz w:val="32"/>
        </w:rPr>
        <w:t>2.一般公共服务支出（类）商贸事务（款）招商引资（项）：支出决算数为108.01万元，比上年决算减少87.33万元，下降44.71%，主要原因是：本年度招商引资专项活动、对外推介等项目经费较上年有所压减。</w:t>
      </w:r>
    </w:p>
    <w:p>
      <w:pPr>
        <w:spacing w:line="580" w:lineRule="exact"/>
        <w:ind w:firstLine="640"/>
        <w:jc w:val="both"/>
      </w:pPr>
      <w:r>
        <w:rPr>
          <w:rFonts w:ascii="仿宋_GB2312" w:hAnsi="仿宋_GB2312" w:eastAsia="仿宋_GB2312"/>
          <w:b w:val="0"/>
          <w:sz w:val="32"/>
        </w:rPr>
        <w:t>3.一般公共服务支出（类）商贸事务（款）事业运行（项）：支出决算数为254.11万元，比上年决算增加53.13万元，增长26.44%，主要原因是：本年度事业单位人员调入增加，相应人员工资、社保缴费等人员经费支出增加。</w:t>
      </w:r>
    </w:p>
    <w:p>
      <w:pPr>
        <w:spacing w:line="580" w:lineRule="exact"/>
        <w:ind w:firstLine="640"/>
        <w:jc w:val="both"/>
      </w:pPr>
      <w:r>
        <w:rPr>
          <w:rFonts w:ascii="仿宋_GB2312" w:hAnsi="仿宋_GB2312" w:eastAsia="仿宋_GB2312"/>
          <w:b w:val="0"/>
          <w:sz w:val="32"/>
        </w:rPr>
        <w:t>4.一般公共服务支出（类）商贸事务（款）其他商贸事务支出（项）：支出决算数为740.78万元，比上年决算减少799.51万元，下降51.91%，主要原因是：上年安排的惠民消费补贴、企业奖补、各类专项活动等一次性项目本年度大幅减少，相关专项工作经费不再安排。</w:t>
      </w:r>
    </w:p>
    <w:p>
      <w:pPr>
        <w:spacing w:line="580" w:lineRule="exact"/>
        <w:ind w:firstLine="640"/>
        <w:jc w:val="both"/>
      </w:pPr>
      <w:r>
        <w:rPr>
          <w:rFonts w:ascii="仿宋_GB2312" w:hAnsi="仿宋_GB2312" w:eastAsia="仿宋_GB2312"/>
          <w:b w:val="0"/>
          <w:sz w:val="32"/>
        </w:rPr>
        <w:t>5.科学技术支出（类）科技条件与服务（款）其他科技条件与服务支出（项）：支出决算数为22.74万元，比上年决算增加10.74万元，增长89.50%，主要原因是：本年度增加编制吉木萨尔县能源化工产业链规划费用。</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27.33万元，比上年决算增加4.00万元，增长17.15%，主要原因是：离退休人员相关待遇标准调整，离退休经费相应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53.61万元，比上年决算增加6.81万元，增长14.55%，主要原因是：单位在职人员增加2人，养老保险缴费基数相应提高，养老保险缴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49.12万元，比上年决算增加26.41万元，增长116.29%，主要原因是：在职人员增加2人，职业年金缴费基数提高，相应职业年金缴费支出大幅增长。</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9.卫生健康支出（类）行政事业单位医疗（款）行政单位医疗（项）：支出决算数为11.56万元，比上年决算增加2.54万元，增长28.16%，主要原因是：医疗保险缴费基数提高，医疗保障缴费支出相应增加。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19.47万元，比上年决算增加4.75万元，增长32.27%，主要原因是：在职人员增加2人，医疗保险缴费基数提高，医疗保障缴费支出相应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11.卫生健康支出（类）行政事业单位医疗（款）公务员医疗补助（项）：支出决算数为13.40万元，比上年决算增加12.00万元，增长857.14%，主要原因是：公务员医疗补助缴费基数提高，补助缴费支出相应大幅增加。</w:t>
      </w:r>
    </w:p>
    <w:p>
      <w:pPr>
        <w:spacing w:line="580" w:lineRule="exact"/>
        <w:ind w:firstLine="640"/>
        <w:jc w:val="both"/>
      </w:pPr>
      <w:r>
        <w:rPr>
          <w:rFonts w:ascii="仿宋_GB2312" w:hAnsi="仿宋_GB2312" w:eastAsia="仿宋_GB2312"/>
          <w:b w:val="0"/>
          <w:sz w:val="32"/>
        </w:rPr>
        <w:t>12.节能环保支出（类）污染防治（款）固体废弃物与化学品（项）：支出决算数为2,200.00万元，比上年决算增加2,200.00万元，增长100.00%，主要原因是：本年度新增固体废弃物与化学品污染防治专项工作（下达污染治理专项2025年第二批中央基建投资预算），首次安排该项工作经费支出。</w:t>
      </w:r>
    </w:p>
    <w:p>
      <w:pPr>
        <w:spacing w:line="580" w:lineRule="exact"/>
        <w:ind w:firstLine="640"/>
        <w:jc w:val="both"/>
      </w:pPr>
      <w:r>
        <w:rPr>
          <w:rFonts w:ascii="仿宋_GB2312" w:hAnsi="仿宋_GB2312" w:eastAsia="仿宋_GB2312"/>
          <w:b w:val="0"/>
          <w:sz w:val="32"/>
        </w:rPr>
        <w:t>13.节能环保支出（类）能源节约利用（款）能源节约利用（项）：支出决算数为1,401.00万元，比上年决算增加1,401.00万元，增长100.00%，主要原因是：本年度增加能源节约利用相关专项项目（2025年节能环保补助资金：县域充换电设施补短板试点吉木萨尔—奇台联合试点县）。</w:t>
      </w:r>
    </w:p>
    <w:p>
      <w:pPr>
        <w:spacing w:line="580" w:lineRule="exact"/>
        <w:ind w:firstLine="640"/>
        <w:jc w:val="both"/>
      </w:pPr>
      <w:r>
        <w:rPr>
          <w:rFonts w:ascii="仿宋_GB2312" w:hAnsi="仿宋_GB2312" w:eastAsia="仿宋_GB2312"/>
          <w:b w:val="0"/>
          <w:sz w:val="32"/>
        </w:rPr>
        <w:t>14.资源勘探工业信息等支出（类）支持中小企业发展和管理支出（款）中小企业发展专项（项）：支出决算数为0.00万元，比上年决算减少40.00万元，下降100.00%，主要原因是：本年度未安排中小企业发展专项，减少对应经费支出。</w:t>
      </w:r>
    </w:p>
    <w:p>
      <w:pPr>
        <w:spacing w:line="580" w:lineRule="exact"/>
        <w:ind w:firstLine="640"/>
        <w:jc w:val="both"/>
      </w:pPr>
      <w:r>
        <w:rPr>
          <w:rFonts w:ascii="仿宋_GB2312" w:hAnsi="仿宋_GB2312" w:eastAsia="仿宋_GB2312"/>
          <w:b w:val="0"/>
          <w:sz w:val="32"/>
        </w:rPr>
        <w:t>15.资源勘探工业信息等支出（类）支持中小企业发展和管理支出（款）其他支持中小企业发展和管理支出（项）：支出决算数为950.00万元，比上年决算增加950.00万元，增长100.00%，主要原因是：本年度新增新疆聚合生物科技有限公司项目建设用地征迁补偿款。</w:t>
      </w:r>
    </w:p>
    <w:p>
      <w:pPr>
        <w:spacing w:line="580" w:lineRule="exact"/>
        <w:ind w:firstLine="640"/>
        <w:jc w:val="both"/>
      </w:pPr>
      <w:r>
        <w:rPr>
          <w:rFonts w:ascii="仿宋_GB2312" w:hAnsi="仿宋_GB2312" w:eastAsia="仿宋_GB2312"/>
          <w:b w:val="0"/>
          <w:sz w:val="32"/>
        </w:rPr>
        <w:t>16.商业服务业等支出（类）涉外发展服务支出（款）其他涉外发展服务支出（项）：支出决算数为6.46万元，比上年决算增加6.46万元，增长100.00%，主要原因是：本年度新增2025年度第三批中央外经贸发展专项资金-华庭工贸。</w:t>
      </w:r>
    </w:p>
    <w:p>
      <w:pPr>
        <w:spacing w:line="580" w:lineRule="exact"/>
        <w:ind w:firstLine="640"/>
        <w:jc w:val="both"/>
      </w:pPr>
      <w:r>
        <w:rPr>
          <w:rFonts w:ascii="仿宋_GB2312" w:hAnsi="仿宋_GB2312" w:eastAsia="仿宋_GB2312"/>
          <w:b w:val="0"/>
          <w:sz w:val="32"/>
        </w:rPr>
        <w:t>17.商业服务业等支出（类）其他商业服务业等支出（款）服务业基础设施建设（项）：支出决算数为12.40万元，比上年决算减少11.74万元，下降48.63%，主要原因是：本年度2025年度服务业发展资金第一批和第二批补贴资金，较上年补贴企业资金减少。</w:t>
      </w:r>
    </w:p>
    <w:p>
      <w:pPr>
        <w:spacing w:line="580" w:lineRule="exact"/>
        <w:ind w:firstLine="640"/>
        <w:jc w:val="both"/>
      </w:pPr>
      <w:r>
        <w:rPr>
          <w:rFonts w:ascii="仿宋_GB2312" w:hAnsi="仿宋_GB2312" w:eastAsia="仿宋_GB2312"/>
          <w:b w:val="0"/>
          <w:sz w:val="32"/>
        </w:rPr>
        <w:t>18.商业服务业等支出（类）其他商业服务业等支出（款）其他商业服务业等支出（项）：支出决算数为811.00万元，比上年决算增加811.00万元，增长100.00%，主要原因是：本年度统筹安排北庭工业园区综合服务区及标准化厂房、县防疫服务中心补助资金、招商引资宣传片拍摄、消费品以旧换新补贴审核审计、电商挑战赛宣传、“十四五”工业经济发展规划修编等多项专项工作，新增对应项目经费支出。</w:t>
      </w:r>
    </w:p>
    <w:p>
      <w:pPr>
        <w:spacing w:line="580" w:lineRule="exact"/>
        <w:ind w:firstLine="640"/>
        <w:jc w:val="both"/>
      </w:pPr>
      <w:r>
        <w:rPr>
          <w:rFonts w:ascii="仿宋_GB2312" w:hAnsi="仿宋_GB2312" w:eastAsia="仿宋_GB2312"/>
          <w:b w:val="0"/>
          <w:sz w:val="32"/>
        </w:rPr>
        <w:t>19.住房保障支出（类）住房改革支出（款）住房公积金（项）：支出决算数为43.08万元，比上年决算增加5.58万元，增长14.88%，主要原因是：本年度在职人员数量增加、公积金缴费基数上调，单位住房公积金缴存支出相应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2025年度一般公共预算财政拨款基本支出871.94万元，其中：</w:t>
      </w:r>
      <w:r>
        <w:rPr>
          <w:rFonts w:ascii="仿宋_GB2312" w:hAnsi="仿宋_GB2312" w:eastAsia="仿宋_GB2312"/>
          <w:b/>
          <w:sz w:val="32"/>
        </w:rPr>
        <w:t>人员经费699.51万元，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公用经费172.42万元，</w:t>
      </w:r>
      <w:r>
        <w:rPr>
          <w:rFonts w:ascii="仿宋_GB2312" w:hAnsi="仿宋_GB2312" w:eastAsia="仿宋_GB2312"/>
          <w:b w:val="0"/>
          <w:sz w:val="32"/>
        </w:rPr>
        <w:t>包括：办公费、印刷费、电费、邮电费、差旅费、公务接待费、劳务费、委托业务费、工会经费、公务用车运行维护费、其他交通费用、其他商品和服务支出。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民生保障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2025年度政府性基金预算财政拨款收入总计228.95万元，</w:t>
      </w:r>
      <w:r>
        <w:rPr>
          <w:rFonts w:ascii="仿宋_GB2312" w:hAnsi="仿宋_GB2312" w:eastAsia="仿宋_GB2312"/>
          <w:b w:val="0"/>
          <w:sz w:val="32"/>
        </w:rPr>
        <w:t>其中：年初结转和结余0.00万元，本年收入228.95万元。</w:t>
      </w:r>
      <w:r>
        <w:rPr>
          <w:rFonts w:ascii="仿宋_GB2312" w:hAnsi="仿宋_GB2312" w:eastAsia="仿宋_GB2312"/>
          <w:b/>
          <w:sz w:val="32"/>
        </w:rPr>
        <w:t>政府性基金预算财政拨款支出总计228.95万元，</w:t>
      </w:r>
      <w:r>
        <w:rPr>
          <w:rFonts w:ascii="仿宋_GB2312" w:hAnsi="仿宋_GB2312" w:eastAsia="仿宋_GB2312"/>
          <w:b w:val="0"/>
          <w:sz w:val="32"/>
        </w:rPr>
        <w:t>其中：年末结转和结余0.00万元，本年支出228.95万元。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减少1,181.20万元，下降83.76%，主要原因是：同为吉木萨尔县北庭春物流园冷藏保鲜库建设项目，两年实施工程量不同，年度项目资金支付额度存在差异，本年政府性基金预算收支规模相应下降。</w:t>
      </w:r>
      <w:r>
        <w:rPr>
          <w:rFonts w:ascii="仿宋_GB2312" w:hAnsi="仿宋_GB2312" w:eastAsia="仿宋_GB2312"/>
          <w:b/>
          <w:sz w:val="32"/>
        </w:rPr>
        <w:t>与年初预算相比，</w:t>
      </w:r>
      <w:r>
        <w:rPr>
          <w:rFonts w:ascii="仿宋_GB2312" w:hAnsi="仿宋_GB2312" w:eastAsia="仿宋_GB2312"/>
          <w:b w:val="0"/>
          <w:sz w:val="32"/>
        </w:rPr>
        <w:t>年初预算数589.85万元，决算数228.95万元，预决算差异率-61.19%，主要原因是：吉木萨尔县北庭春物流园冷藏保鲜库建设项目实施进度未达年初预期，部分资金未能在本年度执行完毕，剩余资金结转至下年度继续使用，造成本年决算支出较年初预算减少，形成预决算差异。</w:t>
      </w:r>
    </w:p>
    <w:p>
      <w:pPr>
        <w:spacing w:line="580" w:lineRule="exact"/>
        <w:ind w:firstLine="640"/>
        <w:jc w:val="both"/>
      </w:pPr>
      <w:r>
        <w:rPr>
          <w:rFonts w:ascii="仿宋_GB2312" w:hAnsi="仿宋_GB2312" w:eastAsia="仿宋_GB2312"/>
          <w:b w:val="0"/>
          <w:sz w:val="32"/>
        </w:rPr>
        <w:t>政府性基金预算财政拨款本年支出228.95万元。具体情况如下：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其他国有土地使用权出让收入安排的支出（项）：支出决算数为2.03万元，比上年决算增加2.03万元，增长100.00%，主要原因是：本年度安排吉木萨尔县北庭春物流园冷藏保鲜库建设项目城镇土地使用税相关支出，为本年新增该科目经费支出。</w:t>
      </w:r>
    </w:p>
    <w:p>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226.92万元，比上年决算减少1,183.23万元，下降83.91%，主要原因是：该支出对应吉木萨尔县北庭春物流园冷藏保鲜库建设项目，两年项目实施工程量不同，本年度项目支付规模较上年大幅下降。</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2025年度财政拨款“三公”经费支出7.04万元，</w:t>
      </w:r>
      <w:r>
        <w:rPr>
          <w:rFonts w:ascii="仿宋_GB2312" w:hAnsi="仿宋_GB2312" w:eastAsia="仿宋_GB2312"/>
          <w:b w:val="0"/>
          <w:sz w:val="32"/>
        </w:rPr>
        <w:t>比上年减少10.30万元，下降59.40%，主要原因是：严格落实党政机关过紧日子要求，从严控制公务接待、公务用车运行等三公经费开支，压减非必要公务活动，“三公”经费支出同比大幅下降。同时，也有招商接待和车辆运行无法列入“三公”支出原因。</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公务用车购置及运行维护费支出6.00万元，占85.23%，比上年减少2.00万元，下降25.00%，主要原因是：严格执行中央八项规定，厉行节约，压减经费。</w:t>
      </w:r>
      <w:r>
        <w:rPr>
          <w:rFonts w:ascii="仿宋_GB2312" w:hAnsi="仿宋_GB2312" w:eastAsia="仿宋_GB2312"/>
          <w:b w:val="0"/>
          <w:sz w:val="32"/>
        </w:rPr>
        <w:t>公务接待费支出1.04万元，占14.77%，比上年减少8.30万元，下降88.87%，主要原因是：严格执行中央八项规定，厉行节约，压减经费。同时将招商接待纳入其他商务接待。</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6.00万元，其中：公务用车购置费0.00万元，公务用车运行维护费6.00万元。公务用车运行维护费开支内容包括车辆加油费、车辆维修费、车辆保险费，过路费。公务用车购置数0辆，公务用车保有量2辆。国有资产占用情况中固定资产车辆2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公务接待费1.04万元，开支内容包括接待公务工作人员产生的餐费支出。单位全年安排的国内公务接待72批次，347人次。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7.30万元，决算数7.04万元，预决算差异率-3.56%，主要原因是：严格执行厉行节约相关要求，在预算范围内从严管控公务活动，节约部分经费，减少实际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6.00万元，决算数6.00万元，预决算差异率0.00%，主要原因是：严格按照预算执行，预决算无差异。公务接待费全年预算数1.30万元，决算数1.04万元，预决算差异率-20.00%，主要原因是：严格执行厉行节约相关要求，在预算范围内从严管控公务活动，节约部分经费，减少公务接待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商务和工业信息化局（行政单位和参照公务员法管理事业单位）机关运行经费支出172.42万元，比上年减少184.63万元，下降51.71%，主要原因是：本年度严格落实党政机关过紧日子工作要求，坚持厉行节约，进一步优化机关运行经费内部支出结构，从严管控行政运行、招商引资工作中的差旅、办公、宣传等一般性公用支出，压减非必要开支，在保障机构正常运转履职基础上，机关运行经费规模同比明显下降。</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2025年度政府采购支出总额282.74万元，其中：政府采购货物支出4.47万元、政府采购工程支出0.00万元、政府采购服务支出278.28万元。</w:t>
      </w:r>
    </w:p>
    <w:p>
      <w:pPr>
        <w:spacing w:line="580" w:lineRule="exact"/>
        <w:ind w:firstLine="640"/>
        <w:jc w:val="both"/>
      </w:pPr>
      <w:r>
        <w:rPr>
          <w:rFonts w:ascii="仿宋_GB2312" w:hAnsi="仿宋_GB2312" w:eastAsia="仿宋_GB2312"/>
          <w:b w:val="0"/>
          <w:sz w:val="32"/>
        </w:rPr>
        <w:t>授予中小企业合同金额206.44万元，占政府采购支出总额的73.01%，其中：授予小微企业合同金额206.44万元，占政府采购支出总额的73.01%。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2辆，价值32.76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7,409.37万元，实际执行总额7,352.87万元；预算绩效评价项目18个，全年预算数4,581.63万元，全年执行数3,190.12万元。预算绩效管理取得的成效：一是确保资金的高效使用，切实发挥财政资金的使用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新行政单位会计制度和新预算法学习培训、规范账务处理，加强《中华人民共和国预算法》《行政单位会计制度》《会计法》《行政单位财务规则》等学习培训，规范部门预算收支核算；二是加强学习，进一步明确如何参照考核体系，科学合理设定绩效目标，充分发挥预算绩效管理工作效用。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吉木萨尔县商务和工业信息化局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3,846.78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3,846.78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1,624.69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3,562.59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3,506.09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302.90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5,055.18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14,818.74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14,705.74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5,055.18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14,818.74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14,705.74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围绕全年工业经济目标，加强监测分析和要素保障，及时掌握企业运行动态，充分挖掘潜能，鼓励存量企业满产达产，增量企业加快生产。采取积极开展消费促进活动、加强企业运行情况监测、加大企业升限纳统摸排力度、积极开展“以旧换新”等措施，推动社零稳步增长。社会消费品零售同比增长率达到5%，推动外贸高质量发展，外贸进出口总额同比增长率达到10%，培育“专精特新”企业，完成小升规企业数量6家，推动固投项目投资建设，完成工业固投数4.20亿元，持广源油气加大勘探开发力度，协助办理探采一体相关手续，打通生产经营环节。加大本地油服企业支持力度，吸引油服企业本地注册，推动本地油服产业做大做强。2025年两大油田公司及准东采油厂计划钻井164口，生产原油210万吨；紧盯产业布局，开展精准招商。围绕自治区“九大产业”集群，坚持新发展理念，把招商引资工作作为推动全县经济高质量发展的“首位战略”、“一号工程”，加大招商引资工作力度，2025年全县计划完成招商引资任务135亿元。</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7409.37万元，实际支出数7352.87万元，资金执行率99.24%，实际已完成社会消费品零售同比增长率达到1.9%，推动外贸高质量发展，外贸进出口总额同比增长率达到47.56%，培育“专精特新”企业，完成小升规企业数量4家，推动固投项目投资建设，完成工业固投数2.5313亿元，持广源油气加大勘探开发力度，协助办理探采一体相关手续，打通生产经营环节。加大本地油服企业支持力度，吸引油服企业本地注册，推动本地油服产业做大做强。2025年两大油田公司及准东采油厂生产原油261.73万吨；紧盯产业布局，开展精准招商。围绕自治区“九大产业”集群，坚持新发展理念，把招商引资工作作为推动全县经济高质量发展的“首位战略”、“一号工程”，加大招商引资工作力度，2025年全县计划完成招商引资任务138.1333亿元。</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社会消费品零售同比增长率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吉木萨尔县商务和工业信息化局2025年工作计划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外贸进出口总额同比增长率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吉木萨尔县商务和工业信息化局2025年工作计划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=47.56%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完成小升规企业数量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吉木萨尔县商务和工业信息化局2025年工作计划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7.33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完成工业固投数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&gt;=4.20亿元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吉木萨尔县商务和工业信息化局2025年工作计划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=2.5313亿元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9.64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原油产量数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&gt;=210万吨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吉木萨尔县商务和工业信息化局2025年工作计划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=261.73万吨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招商引资到位资金数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&gt;=135亿元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吉木萨尔县商务和工业信息化局2025年工作计划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=138.1333亿元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70.67</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2024年5月审计反馈拖欠账款问题整改第三方专业机构及对全县工业产业链项目梳理包装费用余款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本项目主要是用于支付第三方专业机构对全县工业产业链项目梳理包装费用余款6.7万元。为县域延链、强链、补链招商引资工作提供目标企业项目做好项目准备，加强产业链延申和配套建设。</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截至2025年12月31日，本项目支出资金6.7万元，资金执行率100%，目前项目实际完成6.7万元，通过本项目的实施，加强了产业链的延伸，提升了产业链的进度，促进了县域的发展。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支付尾款项目个数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包装工业项目个数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尾款支付程序合规率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尾款支付及时率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第三方专业机构对全县工业产业链项目梳理包装费用余款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加强产业链延申和配套建设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2025年吉木萨尔县“冬韵惠民·乐购北庭”促消费活动项目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发放100万元电子消费券，计划发放时间2025年11月20日—12月31日，预计带动消费700万元。通过电子消费券活动落实促进和扩大消费政策措施，从而激发消费潜力，营造暖冬暖心、普惠共享的氛围为契机，进一步加快提升各业态消费市场活力。本项目为该年新增项目。</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截止2025年12月31日，本项目支出资金100万元，资金执行率100%，本项目实际完成100万元，通过本项目的实施，加强了商家提升销售的信心，提升了服务能力，促进了消费增长。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参加活动企业（包含个体工商户）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补贴标准达标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25%，偏差原因为：券面规则设置不够合理。部分消费券满减门槛偏高，贴合日常小额消费的券种偏少，适配群众日常消费场景不足；消费券有效期较短，群众消费规划时间不足，到期未核销券数量较多；下一年度改进措施：优化消费券发放规则。科学调低满减门槛，增加商超、餐饮、日用等小额通用券，适当延长使用有效期；结合群众消费习惯优化券种结构，提升使用适配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财政拨款活动经费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提升吉木萨尔县消费活力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持续推动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企业（包含个体工商户）对活动宣传满意度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此项指标为已完成指标，因填报人员填报失误造成偏差</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98.75分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2025年吉木萨尔县“情满国庆·乐购北庭”惠民促消费活动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进一步落实促进和扩大消费政策措施，持续开展2025年促消费系列活动，从而激发消费潜力，我县以营造国庆节喜庆繁荣的节日氛围为契机，计划通过发放电子消费券100万元，预计拉动消费700万元。本项目为该年新增项目</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截止2025年12月31日，本项目支出资金100万元，资金执行率100%，本项目实际完成100万元，通过本项目的实施，加强了商家提升销售的信心，提升了服务能力，促进了消费增长。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参加活动企业（包含个体工商户）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&gt;=19家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活动企业（包含个体工商户）参与率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财政拨款活动经费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提升吉木萨尔县消费活力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持续推动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促销政策知晓率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企业（包含个体工商户）对活动宣传满意度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2025年吉木萨尔县“惠启新春·乐购北庭”惠民消费活动经费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9.53</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发放100万消费券，消费券适用于县内重点商贸流通企业（大个体）共21家，其中，餐饮商户9家，零售商户12家，活动为期10天，通过消费券的发放，进一步加快消费市场复苏，预计拉动消费额180万元，激发市场活力，营造喜庆繁荣的节日氛围。使得参加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98.11万元，资金执行率98.11%，本项目实际完成“惠启新春·乐购北庭”惠民消费活动经费98.11%，通过本项目的实施，加强了商家提升销售的信心，提升了服务能力，促进了消费增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零售商户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参加餐饮商户数量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消费券使用合规率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活动为期天数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10%，偏差原因：时间规划不合理，未按照活动方案规定时间进行绩效填报；下一年度改进措施：对方案进行审核把关，对活动各环节内容进行合理规划，并合理规划消费券使用时间，提高资金使用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财政拨款活动经费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=98.106万元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此项指标未完成，存在偏差，偏差率1.89%，偏差原因：截止活动结束，资金未使用完，下年度改进措施：一是加大消费券活动宣传力度，提高群众知晓率；二是合理规划消费券使用时间，提高资金使用率。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预计拉动销售额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=86.33万元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52.04%，偏差原因为：时间规划不合理，未按照活动方案规定时间进行绩效填报；下一年度改进措施：对方案进行审核把关，对活动各环节内容进行合理规划，并合理规划消费券使用时间，提高资金使用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提升吉木萨尔消费活力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持续推动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86.08分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关于申请2025年吉木萨尔县“仲夏粽礼·乐购北庭”惠民消费活动经费的请示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次活动县级财政共发放200万元，其中计划投放餐饮券20万元，零售券80万元，电子产品券60万元，加油加气券10万元，购买新能源汽车政府补贴30万元。涉及参与企业家属21家，通过项目实施，充分发挥消费基础性作用有关精神，以端午节、古尔邦节和新疆维吾尔自治区成立70周年喜庆繁荣的节庆氛围为契机，进一步激发消费活力，助力我县重点商贸企业健康发展。使得参加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截止2025年12月31日，本项目支出资金200万元，资金执行率100%，本项目实际完成200万元，通过本项目的实施，加强了商家提升销售的信心，提升了服务能力，促进了消费增长。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参会活动企业数（家）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消费券兑付合规率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活动开始时间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活动结束时间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投放餐饮券</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68.35%，偏差原因：在各类别消费券金额设置中，未调研市场需求，对消费券的使用资金未进行合理规划。下年度改进措施：一是加大消费券活动宣传力度，提高群众知晓率；二是合理规划消费券使用时间，提高资金使用率；三是对各类别消费券进行合理规划，在活动过程中，根据消费券使用情况，进行及时调整各类别资金使用额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投放零售券</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74%，偏差原因：在各类别消费券金额设置中，未调研市场需求，对消费券的使用资金未进行合理规划。下年度改进措施：一是加大消费券活动宣传力度，提高群众知晓率；二是合理规划消费券使用时间，提高资金使用率；三是对各类别消费券进行合理规划，在活动过程中，根据消费券使用情况，进行及时调整各类别资金使用额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电子产品券</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46.6%，偏差原因：在各类别消费券金额设置中，未调研市场需求，对消费券的使用资金未进行合理规划。下年度改进措施：一是加大消费券活动宣传力度，提高群众知晓率；二是合理规划消费券使用时间，提高资金使用率；三是对各类别消费券进行合理规划，在活动过程中，根据消费券使用情况，进行及时调整各类别资金使用额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加油加气券</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26%，偏差原因：在各类别消费券金额设置中，未调研市场需求，对消费券的使用资金未进行合理规划。下年度改进措施：一是加大消费券活动宣传力度，提高群众知晓率；二是合理规划消费券使用时间，提高资金使用率；三是对各类别消费券进行合理规划，在活动过程中，根据消费券使用情况，进行及时调整各类别资金使用额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购买新能源汽车政府补贴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预计拉动销售额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此项指标未完成，存在偏差，偏差率50%，偏差原因：为对消费券带动金额进行合理评估。下年度改进措施：对活动方案进行认真审核，对消费券使用情况进行合理评估预测后实施。</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提升吉木萨尔消费活力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持续推动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持续推动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关于申请2025年昌吉州重点领域促消费活动奖补资金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航祥餐饮服务有限公司已通过昌吉州商务局审核，该企业符合重点领域促消费活动奖补资金实施细则中餐饮政策（在统计库中的限额以上餐饮单位，上半年营业额同比去年同期增长一倍以上，给予每个主体2万元奖励）；昌吉州商务局同意拨付新疆航祥餐饮服务有限公司2万元奖补资金，目前州财政已向县财政拨付奖补资金1.7万元，用于奖补资金的发放，提升线上企业积极性，企业对活动宣传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截止2025年12月31日，本项目支出资金1.7万元，资金执行率100%，本项目实际完成1.7万元，通过本项目的实施，加强了商家提升销售的信心，提升了服务能力，促进了消费增长。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参加活动企业（包含个体工商户）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财政拨款活动经费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提升线上企业积极性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持续推动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企业对活动宣传满意度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关于申请拨付《编制吉木萨尔县招商引资宣传片》费用的请示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制作一部高质量、高水平的招商引资宣传片，计划于2025年4月开始，拍摄业务经费34.4万元，从而提升我县对外形象、增强投资者信心、扩大招商影响力。吸引更多高质量、高效益的项目落户我县。</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截止2025年12月31日，本项目支出资金27.52万元，资金执行率80%，本项目实际完成了80%；通过本项目的实施，加强了企业对我县投资环境的了解，提升了企业投资信息，促进了县域经济高质量发展。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1部招商引资宣传片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宣传片制作完成率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此项指标未完成，存在偏差，偏差率为20%，偏差原因为：视频二稿未通过县领导审核。下一步改进措施：以函告的形式督促第三方尽快完成宣传片制作。</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拍摄开始时间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2025年4月3日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=2025年4月3日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拍摄业务经费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此项指标未完成，存在偏差，偏差率为20%，偏差原因为：视频二稿未通过县领导审核。下一步改进措施：以函告的形式督促第三方尽快完成宣传片制作。</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提升我县对外形象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部分达成年度指标并具有一定效果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此项指标未完成，存在偏差，偏差率为20%，偏差原因为：视频二稿未通过县领导审核。下一步改进措施：以函告的形式督促第三方尽快完成宣传片制作。</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此项指标未完成，存在偏差，偏差率为11.11%，偏差原因为：视频二稿未通过县领导审核。下一步改进措施：以函告的形式督促第三方尽快完成宣传片制作。</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76.00分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关于申请拨付《编制吉木萨尔县能源化工产业链规划》费用的请示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十八届人民政府第三十六次常务会会议纪要，原则同意实施《编制吉木萨尔县能源化工产业链规划》项目，并经公开招标，由陕西煤业化工技术研究有限责任公司负责编制，技术咨询费用75.8万元。进一步发挥吉木萨尔县资源禀赋及区位优势，在现有产业链基础上着重从“补链发展煤炭深加工（清洁高效利用）产业链”、“补链发展精细化工产业链”以及“延链发展固体废物利用产业链”等方面出发，实现资源的增值，拟聘请第三方对我县能源化工产业延链、补链、强链等方面进行全面、系统、科学的规划，助推我县经济高质量发展。</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截至2025年12月31日，本项目支出资金75.8万元，资金执行率100%，本项目实际完成100%，通过本项目的实施，加强了与准东开发区对接，全面摸排县域及周边煤炭、页岩油、化工新材料等产业底数与发展现状 ，提升了招商的精准度，促进了招商引资工作。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聘请第三方数量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规划编制任务完成率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编制开始日期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2025年1月17日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=2025年1月17日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补全工业产业链研究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有效补全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部门满意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关于申请第三方单位对2025年消费品以旧换新补贴开展全过程平台审核及跟踪审计经费的请示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做好国家以旧换新各类活动平台消费资料审核工作，确保资金申报精准无误，防止资金重报、漏报、错报，提高补贴发放时效，通过聘请1家跟踪审计单位，长期派驻2人进行全过程审计，审计时间为2025年3月-2026年1月工作，项目服务控制在44.2万元以内，确保平台资料审核及资金申报流程安全规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截止2025年12月31日，本项目支出资金35.36万元，资金执行率100%，本项目实际完成聘请1家跟踪审计单位，派驻2人进行全过程审计，审计时间为2025年3月-2026年1月工作，确保平台资料审核及资金申报流程安全规范。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审计人员数量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委托第三方数量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资金审计任务按时完成率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20%，偏差原因：消费品以旧换新活动审计需要等活动结束才可以开展，截至年底财政扎账，需收回未支付的资金，按照协议，剩余20%资金需在审计报告出来后支付，所以20%资金未支付完成；下年度改进措施：做好沟通协调，要求第三方审计公司在活动过程中及时收集相关资料，便于活动结束及时出具审计报告。</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财政拨款审计费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20%，偏差原因：消费品以旧换新活动审计需要等活动结束才可以开展，截至年底财政扎账，需收回未支付的资金，按照协议，剩余20%资金需在审计报告出来后支付，所以20%资金未支付完成；下年度改进措施：做好沟通协调，要求第三方审计公司在活动过程中及时收集相关资料，便于活动结束及时出具审计报告。</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提升业务保障能力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确保平台资料审核及资金申报流程安全规范。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安全规范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参与以旧换新企业满意度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吉木萨尔县充电设施补短板建设试点项目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50.54%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2025年计划完成33台充电桩建设任务，计划按照工程进度支出1401万元，通过项目实施，满足我县新能源汽车日益增长的充电需求，方便县域汽车充电用户，新能源汽车渗透率明显提升，获得群众满意度90%以上。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1401万元，资金执行率为50.54%，本项目实际完成33台充电桩建设任务，通过项目实施，满足我县新能源汽车日益增长的充电需求，方便县域汽车充电用户，新能源汽车渗透率明显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第二档地区年度功率利用率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充电桩数量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&gt;=33台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项目已完工验收合格率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此项指标未完成，存在偏差，总体偏差率为100%，偏差原因为该项目为跨年项目，由于项目未全部完工，因此未验收</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项目按时开工率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2025年项目支出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&lt;=1401万元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新能源汽车渗透率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明显提升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未达成年度指标且效果较差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偏差原因为：该项目建设年限为2年，2025年已完成一期建设内容，2026年起开始建设二期和三期建设内容，项目稳步推进。由于该项目为跨年项目，项目未全部完工，因此未验收。</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方便县域汽车充电用户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未达成年度指标且效果较差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偏差原因为：该项目建设年限为2年，2025年已完成一期建设内容，2026年起开始建设二期和三期建设内容，项目稳步推进。由于该项目为跨年项目，项目未全部完工，因此未验收。</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60.00分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吉木萨尔县北庭春物流园冷藏保鲜库项目债券资金还本付息资金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支付吉木萨尔县北庭春物流园冷藏保鲜库项目专项债还本付息费46.80234万元，确保专项债正常还息。</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46.8万元，资金执行率100%，本项目实际完成吉木萨尔县北庭春物流园冷藏保鲜库项目专项债资金利息支付；通过本项目的实施，加强了我县冷链物流体系建设，提升了债券资金专款专用、按期还本付息的规范化管理水平，促进了冷鲜保藏库项目持续稳定运营，保障资产良性运转。</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专项债还本付息涉及项目数量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专项债还本付息任务完成率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专项债还本付息按时偿还率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专项债还本付息费支出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提升农产品附加值</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补齐冷链物流短板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持续完善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上级主管部门满意度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吉木萨尔县北庭春物流园冷藏保鲜库项目配套费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拨付冷藏保鲜库水土保持补偿费、城镇土地使用税、市政公用基础设施配套费，确保冷藏保鲜库项目正常施工。水土保持补偿费2.03万元；市政公用基础设施配套费63.91万元；土地使用税2.03万元。通过项目实施，确保项目正常实施，按时缴纳相关税费。使得收款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67.97万元，资金执行率100%，本项目实际完成冷藏保鲜库水土保持补偿费、城镇土地使用税、市政公用基础设施配套费的拨付；通过本项目的实施，确保冷藏保鲜库项目顺利竣工，提升农产品保鲜储存承载能力，补齐冷链仓储设施短板，促进本地农产品产业结构优化。</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涉及项目配套费数量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资金拨付及时率（%）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水土保持补偿费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市政公用基础设施配套费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土地使用税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促进地方经济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确保项目正常实施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有效确保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吉木萨尔县电子商务挑战赛经费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本项目通过委托第三方1家，在2025年4月-9月开展“创新电商赢领未来”吉木萨尔县电子商务挑战赛活动，服务费4.15万元，通过活动的实施，有利于提升发展消费新业态新模式，进一步拉动县域经济。</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1.245万元，资金执行率30%，本项目实际2025年4月-9月开展“创新电商赢领未来”吉木萨尔县电子商务挑战赛活动；通过本项目的实施，有利于提升发展消费新业态新模式，进一步拉动县域经济。</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委托第三方数量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大赛方案执行率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该项指标未完成，存在偏差，偏差率为20%，偏差原因为：因报名企业线上销售额均未达到评奖资格，后期颁奖环节等未实施。</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大赛报名及时率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该项指标未完成，存在偏差，偏差率为20%，偏差原因为：因报名企业线上销售额均未达到评奖资格，后期颁奖环节等未实施。</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大赛运营费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该项指标未完成，存在偏差，偏差率为70%，偏差原因为：因方案内部分运营内容为实施，按合同约定只拨付前期费用</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拉动县域经济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有效拉动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未达成年度指标且效果较差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该项指标未完成，存在偏差，偏差率为70%，偏差原因为：因方案内部分运营内容为实施，按合同约定只拨付前期费用</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发展消费新业态新模式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未达成年度指标且效果较差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该项指标未完成，存在偏差，偏差率为70%，偏差原因为：因方案内部分运营内容为实施，按合同约定只拨付前期费用</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参赛企业满意度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30.00分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吉木萨尔县社零第三季度“开门红”补充政策补贴资金项目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推动消费持续扩大，稳定传统消费、提振大宗消费、培育新的消费增长点，我县在《2025年吉木萨尔县“情满国庆？乐购北庭”惠民促消费活动方案》中延用一季度开门红政策，对2025年第三季度（7-9月）达到标准的企业予以补贴发放，计划对符合条件的企业进行政策兑现，符合发放企业5家，预计发放资金13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截止2025年12月31日，本项目支出资金13万元，资金执行率100%，本项目实际完成13万元，通过本项目的实施，加强了商家提升销售的信心，提升了服务能力，促进了消费增长。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参加活动企业（包含个体工商户）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超额完成，存在偏差，偏差率为25%，偏差原因为：通过单位与企业制定各类促消费活动政策，对企业销售额拉动加大，预测的时候过于保守，导致出现偏差；下一年度改进措施为：继续做好各项消费促进活动，制定各类促消费政策，力争县域社零数据同期有所增长。</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活动企业（包含个体工商户）参与率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财政拨款活动经费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提升吉木萨尔县消费活力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持续推动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预计拉动销售额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企业（包含个体工商户）对活动宣传满意度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97.50分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建设用地征迁补偿款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本项目主要是用于支付新疆聚合生物科技有限公司年加工6万吨油脚皂脚及精加工、年加工5万吨工业酚钠盐再生综合利用项目建设用地征迁补偿款950万元。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950万元，资金执行率100%，实际已完成建设用地征迁补偿款950万。通过本项目的实施，加强了建设用地征收、群众权益保障的资金兜底能力，提升了闭环管理的精细化、规范化水平，促进了城乡建设用地高效保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补偿企业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资金合规运用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开始时间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=2025年3月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=2025年3月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财政拨款经费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对企业进行征迁补偿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提升政府诚信度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新疆龙工场跨境电商区域总部中心办公场地装修项目办公场地整体VI元素设计费及强化商贸流通领域协调发展助力服务准东的研究课题费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花23.46万元，委托2家第三方设计公司完成新疆龙工场跨境电商区域总部中心办公场地装修项目办公场地整体VI元素设计与制作和编制强化商贸流通领域协调发展助力服务准东的研究课题，通过项目实施，使得项目前期工作程序合规，使得采购单位满意度达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23.46万元，资金执行率100%，本项目实际完成新疆龙工场跨境电商区域总部中心办公场地装修项目办公场地整体VI元素设计与制作和编制强化商贸流通领域协调发展助力服务准东的研究课题；通过本项目的实施，加强了县域跨境电商及外贸发展，提升了我县商贸流通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聘请第三方单位数量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项目设计任务达标率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研究课题通过率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设计制作费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课题研究费支出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项目前期工作程序合规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合规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105.56%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该项指标未完成，存在偏差，偏差率为5.56%，偏差原因为：我单位在前期设定目标值时，出于底线思维，设定的目标较为保守，下一年度改进措施：结合实际能力，设定更为合理的目标值。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服务业发展资金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对2家企业进行补贴，新疆中德农业发展有限公司辣椒初加工设备改造提升项目，购置辣椒初加工设备，申请奖补金额4.24万元。吉木萨尔县邮政完善寄递物流共配中心及下辖中心乡镇组网模式优化项目列为商业体系建设行动支持项目，奖补金额8.16万元。奖补企业认定准确，奖补资金发放及时，通过项目实施，提升农产品上行动能，完善县乡村三级物流配送体系，使得扶持企业满意率达到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12.4万元，资金执行率100%，对2家企业进行补贴，新疆中德农业发展有限公司辣椒初加工设备改造提升项目，购置辣椒初加工设备，申请奖补金额4.24万元。吉木萨尔县邮政完善寄递物流共配中心及下辖中心乡镇组网模式优化项目列为商业体系建设行动支持项目，奖补金额8.16万元。奖补企业认定准确，奖补资金发放及时，通过项目实施，提升农产品上行动能，完善县乡村三级物流配送体系，使得扶持企业满意率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扶持企业个数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扶持企业认定准确率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奖补资金发放及时率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第二批奖补金额支出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第一批奖补资金支出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增加农产品上行动能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有效增加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完善县乡村三级物流配送体系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扶持企业满意度（%）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电子商务公共服务中心2022年办公场地租赁费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吉木萨尔县商务和工业信息化局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支付2022年电子商务公共服务中心办公场地租赁费用29.05万元，用于电商公共服务中心正常运转，促进电商发展，满意度100%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29.05万元，资金执行率100%，本项目实际完成北庭春物流园三楼办公场地租赁；通过本项目的实施，加强了我县农村电子商务发展，提升了单位整体办公规范化、标准化建设，促进了各科室合理布局、分工协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=926.86平方米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=926.86平方米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租赁程序合规率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办公场地租赁期限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办公场地租赁费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暖气费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增加电商就业人数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