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建设用地征迁补偿款</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吉木萨尔县商务和工业信息化局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吉木萨尔县商务和工业信息化局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魏强</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人民政府对园区规划进行调整，根据《中华人民共和国民法典》《中华人民共和国城镇国有土地使用权出让和转让暂行条例》第十五条等相关法律法规，需解除与新疆聚合生物科技有限公司签订的《国有建设用地使用权出让合同》，对该公司年加工6万吨油脚皂脚及精加工、年加工5万吨工业酚钠盐再生综合利用项目给予建设用地征迁补偿，保障企业合法权益，维护政府诚信与营商环境。目前补偿款已全部支付完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（1）项目名称：建设用地征迁补偿款项目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（2）项目主要内容：经双方公平、公正、诚实信用协商，依据新疆正恒联合价〔2025〕28号评估报告，甲方应支付乙方补偿总金额950万元（大写：玖佰伍拾万元整）。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实施主体：吉木萨尔县商务和工业信息化局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实施情况：因园区规划调整，解除土地出让合同，按评估价格足额支付新疆聚合生物科技有限公司征迁补偿款950万元，资金全部拨付到位，无拖欠、无纠纷。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①贯彻执行国家、自治区、自治州有关内外贸易经济技术合作和外商投资政策、法规；研究“一带一路”建设、区域经济合作、现代流通方式的发展趋势和流通体制改革并提出建议。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②贯彻执行国家、县工业和信息化的法律法规和方针政策，提出自治州工业和信息化发展规划和政策建议；拟定工业和信息化发展的政策措施，并组织实施和监督检查；协调和解决工业信息化进程中的重大问题。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③贯彻落实国家、县和自治州产业政策，并组织实施和监督检查；指导产业合理布局和结构调整；组织协调重点产业调整和高质量发展规划的拟订与实施。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负责推进流通产业结构调整，指导流通企业改革、商贸服务业和社区商业发展，提出促进商贸中小企业发展的政策建议，推动流通标准化和连锁经营、商业特许经营、物流配送、电子商务等现代流通方式的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⑤指导大宗产品批发市场规划和城市商业网点规划、商业体系建设工作；研究提出流通行业和生活服务业重点设施布局意见，协调吉木萨尔县商业中心、特色商业街和各类商品交易市场的规划和建设。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承担牵头协调整顿和规范市场经济秩序工作的责任。根据国家县、自治州拟定的规范市场运行、流通秩序的政策，推动商务领域信用建设，指导商业信用销售；建立市场诚信公共服务平台，按有关规定对吉木萨尔县酒类流通、再生资源流通等特殊流通行业进行监督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承担组织实施重要消费品市场调控和重要生产资料流通管理的责任，负责建立健全生活必需品市场供应应急管理机制，监测分析市场运行、商品供应状况，调查分析商品价格信息并进行预测预警和信息引导；按分工负责重要消费品储备管理和市场调控工作；按有关规定对成品油流通环节进行监督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制定电子商务发展规划和政策措施并组织实施；指导企业信息化及运用电子商务开拓国内外市场；负责建立电子商务行业统计和评价体系，牵头推进电子商务支撑服务体系发展，负责县域内电子商务的运营监督及管理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负责对外贸易的管理。贯彻执行国家、县和自治州进出口商品、加工贸易管理办法和进出口管理商品、技术目录，拟订促进外贸增长方式转变的政策措施；组织实施本县进出口配额，贯彻落实国家、县和自治对外技术贸易、出口管制以及鼓励技术和成套设备进出口的贸易政策；会同有关部门制定促进本县服务贸易和服务外包发展的规划并组织实施；推动服务外包平台建设；组织协调本县反倾销、反补贴、保障措施及其他与进出口公平贸易相关的工作，建立进出口公平贸易及产业损害预警机制；依法实施对外贸易调查和产业损害调查，指导协调产业安全应对工作及国外对本县出口商品的反倾销、反补贴、保障措施的应诉等相关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⑩负责招商引资工作的协调、组织、管理；执行县和自治州招商引资方针政策，编制招商引资发展规划和年度计划，建设绿色招商项目库，落实重大招商项目跟进责任制，参与评审论证重点招商项目，完善招商引资服务体系；负责招商引资统计通报、信息收集和目标考核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外商投资工作；依法核准权限内外商投资企业的设立、合同、章程及变更事项；负责国家规定的限额以上、限制投资和涉及配额、许可证管理的外商投资企业的设立及其变更事项的审核上报工作；负责管理、监督本县外商投资企业执行有关法律、法规、合同情况。负责对外经济合作工作，执行对外经济合作政策，指导和监督本县境外承包工程及对外劳务合作；审核上报吉木萨尔县企业（组织）在境外投资项目和驻外机构，协调外派劳务人员的权益保护工作；申报多边、双边国际及民间无偿援助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？负责与县各地州县及内地各省市之间的横向经济联合协作。开展外引内联、对口支援及有关项目的对接落实工作；组织和参与各类商务领域交易会、洽谈会、博览会、展览会和有关招商活动。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承担工业经济运行态势监测分析、预测预警和信息引导工作；拟订工业经济运行调控目标、政策措施；协调解决工业经济运行中的重大问题并提出政策建议；负责全县能源保障和重要工业物资供需协调有关工作；负责协调油地关系，地方涉油企业的管理；负责工业经济运行和产业安全有关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工业和信息化领域各行业的管理，组织拟订行业专项规划，并组织实施技术规范和标准；贯彻盐业行业发展规划和政策措施，负责盐业行业管理；协调保障煤、电、油、气、运等重要生产要素的供需平衡，支持石油天然气生产建设；负责园区设立、创建和申报县和自治州园区专项资金协调工作；贯彻国家、县和自治州关于原材料行业规范和准入，指导冶金、有色金属、黄金、稀土、轻工、纺织、机电、建材等行业管理。负责食品（含酒类）、医药工业发展规划相关政策的拟订和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工业和信息产业及信息化建设的技术改造投资管理，负责技术改造和投资项目审核、备案；拟订技术改造投资的有关政策措施；研究和规划本行政区域内技术改造项目投资方向和布局，引导企业、金融机构及社会资金投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？拟订工业和信息化领域技术创新政策措施；培育和发展战略性新兴产业；拟订装备工业发展规划及政策措施；负责推进装备制造产业发展工作。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导工业和信息化领域体制改革和管理创新；拟订促进中小企业发展的相关政策措施，负责对中小企业的宏观指导和服务，指导中小企业改革与发展，建立健全服务体系；负责工业和信息化领域人员的培训工作；负责组织协调减轻企业负担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？贯彻落实工业和信息化领域资源节约和综合利用规划、政策；指导工业节能减排综合协调和监督管理工作；指导工业和信息化领域循环经济发展；协调工业和信息化领域清洁生产和节能环保产业发展工作。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？负责民爆行业管理；依据管理权限，对民用爆炸物品生产、销售依法进行监督管理。配合有关部门指导工业领域相关行业的安全生产工作。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？组织执行国家、县和自治州电力行业技术规范和标准；负责权限范围内的电力行政执法、监督；负责制定年度电力行业运行调控目标；组织协调解决电力生产、运营和供应中的重大问题；指导电力调度工作。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推进信息化工作；指导协调经济社会各领域信息技术的推广应用工作；推进跨行业、跨部门面向社会服务的互联互通及重要信息资源开发利用和共享；协调本行政区域内通信业有关工作；推进信息化和工业化融合；统筹指导工业信息安全管理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？指导电子信息产业的发展；指导电子信息产品制造业、软件业、信息服务业发展；指导电子信息产业基地建设；协调电子信息产业重大专项实施。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？完成县党委、县人民政府交办的其他任务。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单位内设机构：吉木萨尔县商务和工业信息化局下设3个处室，分别是：招商引资服务中心、电子产业发展服务中心、支持油田发展中心。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本项目预算总额950万元，资金来源为本级一般公共预算资金，财政资金950万元，其他资金0万元。2025年实际收到预算资金950万元，资金到位率100%。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截至2025年12月31日，项目实际支付资金950万元，预算执行率100%，全部用于支付新疆聚合生物科技有限公司建设用地征迁补偿费用950万元。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用于支付新疆聚合生物科技有限公司年加工6万吨油脚皂脚及精加工、年加工5万吨工业酚钠盐再生综合利用项目建设用地征迁补偿款，保障企业合法权益，维护政府公信力，优化园区规划布局。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“补偿企业”指标，预期指标值为“大于等于1家”；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“资金合规运用”指标，预期指标值为“等于100%”；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“开始时间”指标，预期指标值为“等于2025年3月”；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“财政拨款经费”指标，预期指标值为“等于950万元”；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“足额支付企业征迁补偿”指标，预期指标值为“等于950万元”；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“提升政府诚信度”指标，预期指标值为“有效提升”；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“企业满意度（%）”指标，预期指标值为“大于等于95%”；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建设用地征迁补偿款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此次我单位根据《财政支出绩效评价管理暂行办法》（财预〔2020〕10号）文件要求实施评价工作，本次评价对象为建设用地征迁补偿款项目，评价核心为项目资金、项目产出、项目效益。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魏强（评价小组组长）：主要负责项目策划和监督，全面负责项目绩效评价报告的最终质量，对评价人员出具的最终报告质量进行复核，确保评估结果的客观性；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杨成伟（评价小组组员）：主要负责资料的收集，取证、数据统计分析；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那扎尔（评价小组组员）：主要负责项目报告的制定，指标的研判，数据分析及报告撰写。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1.评价目的：全面实施预算绩效管理，提高财政资金使用效益，规范征迁补偿流程，保障资金安全高效，提升部门管理水平。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2.评价对象：建设用地征迁补偿款项目资金使用、项目管理、产出效益。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3.评价范围：资金使用、财务管理、制度执行、绩效目标完成情况、企业满意度等。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项目全面完成绩效目标：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1.补偿企业1家，完成率100%。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2.资金执行率100%，合规使用。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3.足额支付补偿款950万元。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4.有效提升政府诚信度，企业满意度100%。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按评估价格足额支付新疆聚合生物科技有限公司征迁补偿款950万元，资金全部拨付到位，无拖欠、无纠纷。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项目因县域园区规划调整需要解除土地出让合同，依据</w:t>
      </w:r>
      <w:r>
        <w:rPr>
          <w:rStyle w:val="Strong"/>
          <w:rFonts w:ascii="楷体" w:eastAsia="楷体" w:hAnsi="楷体" w:hint="eastAsia"/>
          <w:b w:val="0"/>
          <w:bCs w:val="0"/>
          <w:spacing w:val="-4"/>
          <w:sz w:val="32"/>
          <w:szCs w:val="32"/>
        </w:rPr>
        <w:t xml:space="preserve">《中华人民共和国民法典》</w:t>
      </w:r>
      <w:r>
        <w:rPr>
          <w:rStyle w:val="Strong"/>
          <w:rFonts w:ascii="楷体" w:eastAsia="楷体" w:hAnsi="楷体" w:hint="eastAsia"/>
          <w:b w:val="0"/>
          <w:bCs w:val="0"/>
          <w:spacing w:val="-4"/>
          <w:sz w:val="32"/>
          <w:szCs w:val="32"/>
        </w:rPr>
        <w:t xml:space="preserve">《城镇国有土地使用权出让和转让暂行条例》、县政府园区调整批复文件立项，政策、文件依据齐全、合法有效，立项理由充分。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经县商工局内部会商、第三方资产评估、政企协商定价、财政预算申报审批全流程，项目立项审批环节完整，流程符合财政资金申报、征迁补偿管理相关规定。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①该项目已设置年度绩效目标，具体内容为“支付新疆聚合生物科技有限公司年加工6万吨油脚皂脚及精加工、年加工5万吨工业酚钠盐再生综合利用项目建设用地征迁补偿款950万元”。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支付新疆聚合生物科技有限公司年加工6万吨油脚皂脚及精加工、年加工5万吨工业酚钠盐再生综合利用项目建设用地征迁补偿款950万元。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支付新疆聚合生物科技有限公司年加工6万吨油脚皂脚及精加工、年加工5万吨工业酚钠盐再生综合利用项目建设用地征迁补偿款950万元，达到按时按期支付资金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④该项目批复的预算金额为950万元，《项目支出绩效目标表》中预算金额为950万元，预算确定的项目资金与预算确定的项目投资额相匹配。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7个，定量指标6个，定性指标1个，指标量化率为85.71%，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补偿企业等于1家”，三级指标的年度指标值与年度绩效目标中任务数一致，已设置时效指标“开始时间”。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新疆正恒联合价〔2025〕28号资产评估报告核定950万元补偿总价，预算编制以第三方评估结果为基数，资金来源为县级一般公共预算，预算测算科学、资金分配100%专项用于企业征迁补偿，无拆分、挤占预算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本项目实际分配资金以《新疆正恒联合价〔2025〕28号资产评估报告》为依据进行资金分配，预算资金分配依据充分。本项目实际到位资金950万元，资金分配额度合理，与我单位实际需求相适应。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950万元，其中：财政安排资金950万元，其他资金0万元，实际到位资金950万元，资金到位率=（实际到位资金/预算资金）×100.00%=（950/950）×100.00%=100%。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本项目实际支出资金950万元，预算执行率=（实际支出资金/实际到位资金）×100.00%=（950/950）×100.00%=100%；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商务和工业信息化局单位预算绩效管理工作实施办法》，《商务和工业信息化局财务管理制度》，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商务和工业信息化局单位预算绩效管理工作实施办法》，《商务和工业信息化局财务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商务和工业信息化局单位预算绩效管理工作实施办法》，《商务和工业信息化局财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项目产出类指标由4个二级指标和4个三级指标构成，权重分30.00分，实际得分30分。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“补偿企业”指标：预期指标值为“等于1家”，实际完成指标值为“等于1家”，指标完成率为100.00%。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“资金合规运用”指标：预期指标值为“等于100%”，实际完成指标值为“等于100%”，指标完成率为100%。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“开始时间”指标：预期指标值为“等于2025年3月”，实际完成指标值为“等于2025年3月”，指标完成率为100%。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“财政拨款经费”指标：预期指标值为“等于950万元”，实际完成指标值为“等于950万元”，指标完成率为100%。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“对企业进行征迁补偿”指标：预期指标值为“等于950万元”，实际完成指标值为“等于950万元”，指标完成率为100%。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“提升政府诚信度”指标：预期指标值为“有效提升”，实际完成指标值为“达成年度指标”，指标完成率为100.00%。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“企业满意度（%）”指标：预期指标值为“大于等于95%”，实际完成指标值为“等于100%”，指标完成率为105.26%。扣分原因分析：单位在前期设定目标时，出于底线思维考虑，设定的目标值较为保守。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征迁补偿项目严格按照园区规划调整要求，依法依规开展合同解除与补偿工作。一是强化组织领导，成立专项工作小组，明确职责分工，确保流程规范、推进高效。二是严格资金管理，实行专款专用、专项核算、专人审核，资金拨付手续齐全、程序合规。三是依法评估定价，委托第三方机构出具评估报告，以评估价为依据确定补偿金额，公开透明、公平公正。四是强化沟通服务，主动与企业对接，及时拨付资金，有效化解矛盾，保障企业合法权益，提升政府公信力。五是健全绩效闭环，从预算、执行、评价、整改全流程管理，确保财政资金“花得明、用得好、见成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1.项目前期绩效目标设置不够细化</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申报初期，绩效指标设置偏宏观，对补偿流程节点、资料归档时效、企业沟通频次等未进一步量化，导致部分过程管理缺乏精细化指引。主要原因是项目前期时间较紧，对绩效指标“可衡量、可考核”要求理解不够深入，同时征迁补偿类项目突发性较强，指标细化难度较大，未能充分结合项目特点设置更具操作性的绩效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2.项目档案资料整理不够及时规范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过程中，部分合同扫描件、资金拨付凭证、企业签收记录等资料存在集中补整理情况，未做到边实施边归档。主要原因是业务人员日常工作任务繁重，精力主要集中在资金拨付与企业协调上，对档案标准化管理重视不足，缺乏常态化、即时化归档机制，同时未安排专人专职负责档案管理，导致资料完整性</w:t>
      </w:r>
      <w:r>
        <w:rPr>
          <w:rStyle w:val="Strong"/>
          <w:rFonts w:ascii="楷体" w:eastAsia="楷体" w:hAnsi="楷体" w:hint="eastAsia"/>
          <w:b w:val="0"/>
          <w:bCs w:val="0"/>
          <w:spacing w:val="-4"/>
          <w:sz w:val="32"/>
          <w:szCs w:val="32"/>
        </w:rPr>
        <w:t xml:space="preserve">及</w:t>
      </w:r>
      <w:r>
        <w:rPr>
          <w:rStyle w:val="Strong"/>
          <w:rFonts w:ascii="楷体" w:eastAsia="楷体" w:hAnsi="楷体" w:hint="eastAsia"/>
          <w:b w:val="0"/>
          <w:bCs w:val="0"/>
          <w:spacing w:val="-4"/>
          <w:sz w:val="32"/>
          <w:szCs w:val="32"/>
        </w:rPr>
        <w:t xml:space="preserve">时性有待进一步提升。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1.针对绩效目标不够细化的建议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今后同类项目申报时，提前组织财务与业务人员开展绩效指标培训，严格按照“定量+定性”相结合原则，围绕补偿数量、时效、质量、成本、满意度等维度细化指标，明确补偿启动时间、办结时限、资料完备率、企业回访频次等可考核内容，建立更贴合征迁补偿项目的绩效指标体系，提升绩效目标科学性与指导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2.针对档案资料整理不及时的建议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项目全过程档案即时归档制度，明确专人负责资料收集、整理、扫描、归档，做到“完成一项、归档一项”。将档案管理纳入项目考核内容，定期开展自查，确保合同、评估报告、资金凭证、企业确认书等资料完整规范。同时利用电子化档案系统提升管理效率，实现档案可查询、可追溯、可复核，全面提升项目管理规范化水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c93d46f7-dd6e-495c-ae00-8036199167df"/>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