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吉木萨尔县司法局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普法、依法治理、法治宣传工作。制定全县法治宣传教育、普法和依法治县规划并组织实施，组织全县各单位争创普法依法治理先进单位活动的开展。监督和指导各乡镇司法所的全面工作，负责人民调解工作、安置帮教工作、乡镇法律服务工作。为有困难的公民、法人和其他组织提供法律援助服务。监督和指导并开展全县公证业务活动，依法办理有关公证事项。</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吉木萨尔县司法局无下属预算单位。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2025年度收入总计1,107.24万元，</w:t>
      </w:r>
      <w:r>
        <w:rPr>
          <w:rFonts w:ascii="仿宋_GB2312" w:hAnsi="仿宋_GB2312" w:eastAsia="仿宋_GB2312"/>
          <w:b w:val="0"/>
          <w:sz w:val="32"/>
        </w:rPr>
        <w:t>其中：本年收入合计1,106.28万元，使用非财政拨款结余（含专用结余）0.00万元，年初结转和结余0.96万元。</w:t>
      </w:r>
    </w:p>
    <w:p>
      <w:pPr>
        <w:spacing w:line="580" w:lineRule="exact"/>
        <w:ind w:firstLine="640"/>
        <w:jc w:val="both"/>
      </w:pPr>
      <w:r>
        <w:rPr>
          <w:rFonts w:ascii="仿宋_GB2312" w:hAnsi="仿宋_GB2312" w:eastAsia="仿宋_GB2312"/>
          <w:b/>
          <w:sz w:val="32"/>
        </w:rPr>
        <w:t>2025年度支出总计1,107.24万元，</w:t>
      </w:r>
      <w:r>
        <w:rPr>
          <w:rFonts w:ascii="仿宋_GB2312" w:hAnsi="仿宋_GB2312" w:eastAsia="仿宋_GB2312"/>
          <w:b w:val="0"/>
          <w:sz w:val="32"/>
        </w:rPr>
        <w:t>其中：本年支出合计1,106.29万元，结余分配0.00万元，年末结转和结余0.96万元。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增加75.10万元，增长7.28%，主要原因是：本年在职人员增加，在职人员工资调增、社保、公积金基数调增，人员经费增加；本年退休人员增加，相应退休经费及职业年金支出较上年增加。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本年收入1,106.28万元，</w:t>
      </w:r>
      <w:r>
        <w:rPr>
          <w:rFonts w:ascii="仿宋_GB2312" w:hAnsi="仿宋_GB2312" w:eastAsia="仿宋_GB2312"/>
          <w:b w:val="0"/>
          <w:sz w:val="32"/>
        </w:rPr>
        <w:t>其中：财政拨款收入1,106.22万元，占99.99%；上级补助收入0.00万元，占0.00%；事业收入0.00万元，占0.00%；经营收入0.00万元，占0.00%；附属单位上缴收入0.00万元，占0.00%；其他收入0.06万元，占0.005%。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本年支出1,106.29万元，</w:t>
      </w:r>
      <w:r>
        <w:rPr>
          <w:rFonts w:ascii="仿宋_GB2312" w:hAnsi="仿宋_GB2312" w:eastAsia="仿宋_GB2312"/>
          <w:b w:val="0"/>
          <w:sz w:val="32"/>
        </w:rPr>
        <w:t>其中：基本支出951.29万元，占85.99%；项目支出155.00万元，占14.01%；上缴上级支出0.00万元，占0.00%；经营支出0.00万元，占0.00%；对附属单位补助支出0.00万元，占0.00%。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2025年度财政拨款收入总计1,106.22万元，</w:t>
      </w:r>
      <w:r>
        <w:rPr>
          <w:rFonts w:ascii="仿宋_GB2312" w:hAnsi="仿宋_GB2312" w:eastAsia="仿宋_GB2312"/>
          <w:b w:val="0"/>
          <w:sz w:val="32"/>
        </w:rPr>
        <w:t>其中：年初财政拨款结转和结余0.00万元，本年财政拨款收入1,106.22万元。</w:t>
      </w:r>
      <w:r>
        <w:rPr>
          <w:rFonts w:ascii="仿宋_GB2312" w:hAnsi="仿宋_GB2312" w:eastAsia="仿宋_GB2312"/>
          <w:b/>
          <w:sz w:val="32"/>
        </w:rPr>
        <w:t>财政拨款支出总计1,106.22万元，</w:t>
      </w:r>
      <w:r>
        <w:rPr>
          <w:rFonts w:ascii="仿宋_GB2312" w:hAnsi="仿宋_GB2312" w:eastAsia="仿宋_GB2312"/>
          <w:b w:val="0"/>
          <w:sz w:val="32"/>
        </w:rPr>
        <w:t>其中：年末财政拨款结转和结余0.00万元，本年财政拨款支出1,106.22万元。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增加75.55万元，增长7.33%，主要原因是：本年在职人员增加，在职人员工资调增、社保、公积金基数调增，人员经费增加。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年初预算数1,061.94万元，决算数1,106.22万元，预决算差异率4.17%，主要原因是：本年在职人员增加，年中追加人员经费及人员工资、社保、公积金基数调增部分资金，导致预决算存在差异。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公共安全行政运行、事业运行、其他司法支出等重点支出，体现在有关支出科目中。</w:t>
      </w:r>
    </w:p>
    <w:p>
      <w:pPr>
        <w:spacing w:line="580" w:lineRule="exact"/>
        <w:ind w:firstLine="640"/>
        <w:jc w:val="both"/>
      </w:pPr>
      <w:r>
        <w:rPr>
          <w:rFonts w:ascii="仿宋_GB2312" w:hAnsi="仿宋_GB2312" w:eastAsia="仿宋_GB2312"/>
          <w:b w:val="0"/>
          <w:sz w:val="32"/>
        </w:rPr>
        <w:t>按照支出功能分类，公共安全支出（类）司法（款）行政运行（项）的支出占本年财政拨款支出总额的比重最高，2025年度决算数为673.36万元，占比60.87%，主要用于人员工资福利、日常公用经费支出。</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2025年度一般公共预算财政拨款支出1,106.22万元，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增加75.55万元，增长7.33%，主要原因是：本年在职人员增加，在职人员工资调增、社保、公积金基数调增，人员经费增加。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年初预算数1,061.94万元，决算数1,106.22万元，预决算差异率4.17%，主要原因是：本年在职人员增加，年中追加人员经费及人员工资、社保、公积金基数调增部分资金，导致预决算存在差异。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1.公共安全支出（类）876.72万元，占79.25%。</w:t>
      </w:r>
    </w:p>
    <w:p>
      <w:pPr>
        <w:spacing w:line="580" w:lineRule="exact"/>
        <w:ind w:firstLine="640"/>
        <w:jc w:val="both"/>
      </w:pPr>
      <w:r>
        <w:rPr>
          <w:rFonts w:ascii="仿宋_GB2312" w:hAnsi="仿宋_GB2312" w:eastAsia="仿宋_GB2312"/>
          <w:b w:val="0"/>
          <w:sz w:val="32"/>
        </w:rPr>
        <w:t>2.社会保障和就业支出（类）133.34万元，占12.05%。</w:t>
      </w:r>
    </w:p>
    <w:p>
      <w:pPr>
        <w:spacing w:line="580" w:lineRule="exact"/>
        <w:ind w:firstLine="640"/>
        <w:jc w:val="both"/>
      </w:pPr>
      <w:r>
        <w:rPr>
          <w:rFonts w:ascii="仿宋_GB2312" w:hAnsi="仿宋_GB2312" w:eastAsia="仿宋_GB2312"/>
          <w:b w:val="0"/>
          <w:sz w:val="32"/>
        </w:rPr>
        <w:t>3.卫生健康支出（类）51.30万元，占4.64%。</w:t>
      </w:r>
    </w:p>
    <w:p>
      <w:pPr>
        <w:spacing w:line="580" w:lineRule="exact"/>
        <w:ind w:firstLine="640"/>
        <w:jc w:val="both"/>
      </w:pPr>
      <w:r>
        <w:rPr>
          <w:rFonts w:ascii="仿宋_GB2312" w:hAnsi="仿宋_GB2312" w:eastAsia="仿宋_GB2312"/>
          <w:b w:val="0"/>
          <w:sz w:val="32"/>
        </w:rPr>
        <w:t>4.住房保障支出（类）44.86万元，占4.06%。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1.一般公共服务支出（类）组织事务（款）其他组织事务支出（项）：支出决算数为0.00万元，比上年决算减少1.21万元，下降100.00%，主要原因是：无一般公共服务支出(类)组织事务(款)其他组织事务支出(项)支出。</w:t>
      </w:r>
    </w:p>
    <w:p>
      <w:pPr>
        <w:spacing w:line="580" w:lineRule="exact"/>
        <w:ind w:firstLine="640"/>
        <w:jc w:val="both"/>
      </w:pPr>
      <w:r>
        <w:rPr>
          <w:rFonts w:ascii="仿宋_GB2312" w:hAnsi="仿宋_GB2312" w:eastAsia="仿宋_GB2312"/>
          <w:b w:val="0"/>
          <w:sz w:val="32"/>
        </w:rPr>
        <w:t>2.公共安全支出（类）司法（款）行政运行（项）：支出决算数为673.36万元，比上年决算增加33.49万元，增长5.23%，主要原因是：本年新增在职人员，人员经费增加，导致经费较上年有所增加。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3.公共安全支出（类）司法（款）事业运行（项）：支出决算数为48.36万元，比上年决算增加13.08万元，增长37.07%，主要原因是：本年新增在职人员，人员经费增加，导致经费较上年有所增加。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4.公共安全支出（类）司法（款）其他司法支出（项）：支出决算数为155.00万元，比上年决算减少19.73万元，下降11.29%，主要原因是：本年拨付中央转移支付资金额度较上年下降。</w:t>
      </w:r>
    </w:p>
    <w:p>
      <w:pPr>
        <w:spacing w:line="580" w:lineRule="exact"/>
        <w:ind w:firstLine="640"/>
        <w:jc w:val="both"/>
      </w:pPr>
      <w:r>
        <w:rPr>
          <w:rFonts w:ascii="仿宋_GB2312" w:hAnsi="仿宋_GB2312" w:eastAsia="仿宋_GB2312"/>
          <w:b w:val="0"/>
          <w:sz w:val="32"/>
        </w:rPr>
        <w:t>5.科学技术支出（类）科技条件与服务（款）其他科技条件与服务支出（项）：支出决算数为0.00万元，比上年决算减少4.78万元，下降100.00%，主要原因是：本年财政未安排这个专项业务经费，导致决算数较上年下降。</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6.社会保障和就业支出（类）行政事业单位养老支出（款）行政单位离退休（项）：支出决算数为20.30万元，比上年决算增加6.22万元，增长44.18%，主要原因是：本年增加退休人员基础绩效奖，退休费支出增加。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61.34万元，比上年决算增加8.85万元，增长16.86%，主要原因是：本年在职人员增加，养老保险缴费较上年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51.70万元，比上年决算增加14.59万元，增长39.32%，主要原因是：本年新增在职人员，职业年金缴费支出增加。</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9.卫生健康支出（类）行政事业单位医疗（款）行政单位医疗（项）：支出决算数为32.12万元，比上年决算增加6.37万元，增长24.74%，主要原因是：本年在职人员增加，行政单位医疗支出较上年增加。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3.68万元，比上年决算增加1.88万元，增长104.44%，主要原因是：本年事业单位医疗从行政单位医疗科目分离，单独列支，事业单位医疗支出较上年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11.卫生健康支出（类）行政事业单位医疗（款）公务员医疗补助（项）：支出决算数为15.50万元，比上年决算增加13.78万元，增长801.16%，主要原因是：本年在职人员增加，公务员医疗补助较上年增加。</w:t>
      </w:r>
    </w:p>
    <w:p>
      <w:pPr>
        <w:spacing w:line="580" w:lineRule="exact"/>
        <w:ind w:firstLine="640"/>
        <w:jc w:val="both"/>
      </w:pPr>
      <w:r>
        <w:rPr>
          <w:rFonts w:ascii="仿宋_GB2312" w:hAnsi="仿宋_GB2312" w:eastAsia="仿宋_GB2312"/>
          <w:b w:val="0"/>
          <w:sz w:val="32"/>
        </w:rPr>
        <w:t>12.住房保障支出（类）住房改革支出（款）住房公积金（项）：支出决算数为44.86万元，比上年决算增加3.03万元，增长7.24%，主要原因是：本年在职人员增加，住房公积金支出较上年增加。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2025年度一般公共预算财政拨款基本支出951.22万元，其中：</w:t>
      </w:r>
      <w:r>
        <w:rPr>
          <w:rFonts w:ascii="仿宋_GB2312" w:hAnsi="仿宋_GB2312" w:eastAsia="仿宋_GB2312"/>
          <w:b/>
          <w:sz w:val="32"/>
        </w:rPr>
        <w:t>人员经费822.47万元，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公用经费128.75万元，</w:t>
      </w:r>
      <w:r>
        <w:rPr>
          <w:rFonts w:ascii="仿宋_GB2312" w:hAnsi="仿宋_GB2312" w:eastAsia="仿宋_GB2312"/>
          <w:b w:val="0"/>
          <w:sz w:val="32"/>
        </w:rPr>
        <w:t>包括：办公费、印刷费、水费、电费、邮电费、取暖费、差旅费、维修（护）费、租赁费、培训费、劳务费、委托业务费、工会经费、公务用车运行维护费、其他交通费用。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2025年度财政拨款“三公”经费支出1.69万元，</w:t>
      </w:r>
      <w:r>
        <w:rPr>
          <w:rFonts w:ascii="仿宋_GB2312" w:hAnsi="仿宋_GB2312" w:eastAsia="仿宋_GB2312"/>
          <w:b w:val="0"/>
          <w:sz w:val="32"/>
        </w:rPr>
        <w:t>比上年减少5.56万元，下降76.69%，主要原因是：本年因支出“三公”经费时一部分科目用公务用车运行维护费，另一部分科目用其他交通费，造成部分支出不能列入三公经费核算。</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1.69万元，占100.00%，比上年减少5.46万元，下降76.36%，主要原因是：本年因支出“三公”经费时一部分科目用公务用车运行维护费，另一部分科目用其他交通费，造成部分支出不能列入三公经费核算。</w:t>
      </w:r>
      <w:r>
        <w:rPr>
          <w:rFonts w:ascii="仿宋_GB2312" w:hAnsi="仿宋_GB2312" w:eastAsia="仿宋_GB2312"/>
          <w:b w:val="0"/>
          <w:sz w:val="32"/>
        </w:rPr>
        <w:t>公务接待费支出0.00万元，占0.00%，比上年减少0.10万元，下降100.00%，主要原因是：本年严格执行中央八项规定，厉行节约，无公务接待费支出。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1.69万元，其中：公务用车购置费0.00万元，公务用车运行维护费1.69万元。公务用车运行维护费开支内容包括2025年公务用车购置及运行维护费1.69万元，其中：公务用车购置费0.00万元，公务用车运行维护费1.69万元。公务用车购置数0辆，公务用车保有量13辆。国有资产占用情况中固定资产车辆13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7.50万元，决算数1.69万元，预决算差异率-77.47%，主要原因是：本年因支出“三公”经费时一部分科目用公务用车运行维护费，另一部分科目用其他交通费，造成部分支出不能列入三公经费核算。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7.15万元，决算数1.69万元，预决算差异率-76.36%，主要原因是：本年因支出“三公”经费时一部分科目用公务用车运行维护费，另一部分科目用其他交通费，造成部分支出不能列入三公经费核算。公务接待费全年预算数0.35万元，决算数0.00万元，预决算差异率-100.00%，主要原因是：本年严格执行中央八项规定，厉行节约，无公务接待费支出。</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2025年度吉木萨尔县司法局（行政单位和参照公务员法管理事业单位）机关运行经费支出128.75万元，比上年增加17.31万元，增长15.53%，主要原因是：本年在职人员增加，办公费用增加。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2025年度政府采购支出总额11.69万元，其中：政府采购货物支出3.71万元、政府采购工程支出0.00万元、政府采购服务支出7.98万元。</w:t>
      </w:r>
    </w:p>
    <w:p>
      <w:pPr>
        <w:spacing w:line="580" w:lineRule="exact"/>
        <w:ind w:firstLine="640"/>
        <w:jc w:val="both"/>
      </w:pPr>
      <w:r>
        <w:rPr>
          <w:rFonts w:ascii="仿宋_GB2312" w:hAnsi="仿宋_GB2312" w:eastAsia="仿宋_GB2312"/>
          <w:b w:val="0"/>
          <w:sz w:val="32"/>
        </w:rPr>
        <w:t>授予中小企业合同金额11.40万元，占政府采购支出总额的97.52%，其中：授予小微企业合同金额8.92万元，占政府采购支出总额的76.30%。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4,905.70平方米，价值672.00万元。车辆13辆，价值121.54万元，其中：副部（省）级及以上领导用车0辆、主要负责人用车0辆、机要通信用车0辆、应急保障用车0辆、执法执勤用车4辆、特种专业技术用车0辆、离退休干部服务用车0辆、其他用车9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1,107.24万元，实际执行总额1,106.29万元；预算绩效评价项目0个，全年预算数0.00万元，全年执行数0.00万元。预算绩效管理取得的成效：我单位无绩效自评表。发现的问题及原因：我单位无绩效自评表。下一步改进措施：我单位无绩效自评表。具体附整体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吉木萨尔县司法局</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144.00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155.00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155.00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917.94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952.24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951.29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64.52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2,252.92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2,214.48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2,212.58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2,252.92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2,214.48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2,212.58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紧紧围绕县委县政府的中心工作，统筹推进全面依法治县和司法行政工作，提高我县司法行政机关执政为民形象，为困难群众提供正确的法律指导，减少上访件的发生维护社会和谐稳定；对刑释解教人员安帮政策落实，促进刑释解教人员成为社会有用之人；全面完成全县普法规划确定的任务目标。全县办结的行政诉讼案件行政机关负责人出庭应诉率达到100%；全县61个党政机关和73个村（社区）法律顾问配备率达100%；调解各类矛盾纠纷600件以上；赋强公证200件以上，受理法律援助案件200件以上；领导干部任前考法参考率、合格率达到100%；常态化组织参加自治区“法治讲堂·逢九必讲”法治大培训100场次以上。建设更高水平的法治县市，打造更有品质的法治社会，夯实司法行政基层基础，提升司法行政履职能力水平。</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1107.24万元，全年执行数为1106.29万元，预算执行率为99.91%，我单位主要完成以下内容：紧紧围绕县委县政府的中心工作，统筹推进全面依法治县和司法行政工作，提高我县司法行政机关执政为民形象，为困难群众提供正确的法律指导，减少上访件的发生维护社会和谐稳定；对刑释解教人员安帮政策落实，促进刑释解教人员成为社会有用之人；全面完成全县普法规划确定的任务目标。全县办结的行政诉讼案件行政机关负责人出庭应诉率达到100%；全县61个党政机关和73个村（社区）法律顾问配备率达100%；调解各类矛盾纠纷960件；赋强公证1303件，受理法律援助案件132件；领导干部任前考法参考率、合格率达到100%；常态化组织参加自治区“法治讲堂·逢九必讲”法治大培训12场次，全年开展“法治讲堂”12场次。建设更高水平的法治县市，打造更有品质的法治社会，夯实司法行政基层基础，提升司法行政履职能力水平。</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管理效率</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全县办结的行政诉讼案件行政机关负责人出庭应诉率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吉木萨尔县司法局2024年工作总结及2025年工作计划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全县61个党政机关和73个村（社区）法律顾问配备率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调解各类矛盾纠纷</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&gt;=600件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赋强公证</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&gt;=200件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受理法律援助案件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&gt;=200件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16.07</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县委管理的领导干部提拔任用和职级晋升前均组织进行任前法律考试参考率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常态化组织参加自治区“法治讲堂。逢九必讲”法治大培训</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&gt;=100场次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1.44</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78.51</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