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吉木萨尔县北庭镇卫生院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1.为所属乡镇居民身体提供医疗护理与保健服务。</w:t>
      </w:r>
    </w:p>
    <w:p>
      <w:pPr>
        <w:spacing w:line="580" w:lineRule="exact"/>
        <w:ind w:firstLine="640"/>
        <w:jc w:val="both"/>
      </w:pPr>
      <w:r>
        <w:rPr>
          <w:rFonts w:ascii="仿宋_GB2312" w:hAnsi="仿宋_GB2312" w:eastAsia="仿宋_GB2312"/>
          <w:sz w:val="32"/>
        </w:rPr>
        <w:t>2.卫生技术人员培训。</w:t>
      </w:r>
    </w:p>
    <w:p>
      <w:pPr>
        <w:spacing w:line="580" w:lineRule="exact"/>
        <w:ind w:firstLine="640"/>
        <w:jc w:val="both"/>
      </w:pPr>
      <w:r>
        <w:rPr>
          <w:rFonts w:ascii="仿宋_GB2312" w:hAnsi="仿宋_GB2312" w:eastAsia="仿宋_GB2312"/>
          <w:sz w:val="32"/>
        </w:rPr>
        <w:t>3.预防保健，初级卫生保健规划实施，卫生信息管理。</w:t>
      </w:r>
    </w:p>
    <w:p>
      <w:pPr>
        <w:spacing w:line="580" w:lineRule="exact"/>
        <w:ind w:firstLine="640"/>
        <w:jc w:val="both"/>
      </w:pPr>
      <w:r>
        <w:rPr>
          <w:rFonts w:ascii="仿宋_GB2312" w:hAnsi="仿宋_GB2312" w:eastAsia="仿宋_GB2312"/>
          <w:sz w:val="32"/>
        </w:rPr>
        <w:t>4.承担所属乡镇六个行政村居民的十四项公共卫生管理服务工作任务。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吉木萨尔县北庭镇卫生院无下属预算单位。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2025年度收入总计820.71万元，</w:t>
      </w:r>
      <w:r>
        <w:rPr>
          <w:rFonts w:ascii="仿宋_GB2312" w:hAnsi="仿宋_GB2312" w:eastAsia="仿宋_GB2312"/>
          <w:b w:val="0"/>
          <w:sz w:val="32"/>
        </w:rPr>
        <w:t>其中：本年收入合计818.76万元，使用非财政拨款结余（含专用结余）0.00万元，年初结转和结余1.95万元。</w:t>
      </w:r>
    </w:p>
    <w:p>
      <w:pPr>
        <w:spacing w:line="580" w:lineRule="exact"/>
        <w:ind w:firstLine="640"/>
        <w:jc w:val="both"/>
      </w:pPr>
      <w:r>
        <w:rPr>
          <w:rFonts w:ascii="仿宋_GB2312" w:hAnsi="仿宋_GB2312" w:eastAsia="仿宋_GB2312"/>
          <w:b/>
          <w:sz w:val="32"/>
        </w:rPr>
        <w:t>2025年度支出总计820.71万元，</w:t>
      </w:r>
      <w:r>
        <w:rPr>
          <w:rFonts w:ascii="仿宋_GB2312" w:hAnsi="仿宋_GB2312" w:eastAsia="仿宋_GB2312"/>
          <w:b w:val="0"/>
          <w:sz w:val="32"/>
        </w:rPr>
        <w:t>其中：本年支出合计786.96万元，结余分配0.00万元，年末结转和结余33.75万元。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增加178.67万元，增长27.83%，主要原因是：本年在职人员增加，在职人员工资调增、社保、公积金基数调增，人员经费增加。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本年收入818.76万元，</w:t>
      </w:r>
      <w:r>
        <w:rPr>
          <w:rFonts w:ascii="仿宋_GB2312" w:hAnsi="仿宋_GB2312" w:eastAsia="仿宋_GB2312"/>
          <w:b w:val="0"/>
          <w:sz w:val="32"/>
        </w:rPr>
        <w:t>其中：财政拨款收入652.42万元，占79.68%；上级补助收入0.00万元，占0.00%；事业收入142.11万元，占17.36%；经营收入0.00万元，占0.00%；附属单位上缴收入0.00万元，占0.00%；其他收入24.22万元，占2.96%。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本年支出786.96万元，</w:t>
      </w:r>
      <w:r>
        <w:rPr>
          <w:rFonts w:ascii="仿宋_GB2312" w:hAnsi="仿宋_GB2312" w:eastAsia="仿宋_GB2312"/>
          <w:b w:val="0"/>
          <w:sz w:val="32"/>
        </w:rPr>
        <w:t>其中：基本支出583.75万元，占74.18%；项目支出203.21万元，占25.82%；上缴上级支出0.00万元，占0.00%；经营支出0.00万元，占0.00%；对附属单位补助支出0.00万元，占0.00%。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2025年度财政拨款收入总计652.42万元，</w:t>
      </w:r>
      <w:r>
        <w:rPr>
          <w:rFonts w:ascii="仿宋_GB2312" w:hAnsi="仿宋_GB2312" w:eastAsia="仿宋_GB2312"/>
          <w:b w:val="0"/>
          <w:sz w:val="32"/>
        </w:rPr>
        <w:t>其中：年初财政拨款结转和结余0.00万元，本年财政拨款收入652.42万元。</w:t>
      </w:r>
      <w:r>
        <w:rPr>
          <w:rFonts w:ascii="仿宋_GB2312" w:hAnsi="仿宋_GB2312" w:eastAsia="仿宋_GB2312"/>
          <w:b/>
          <w:sz w:val="32"/>
        </w:rPr>
        <w:t>财政拨款支出总计652.42万元，</w:t>
      </w:r>
      <w:r>
        <w:rPr>
          <w:rFonts w:ascii="仿宋_GB2312" w:hAnsi="仿宋_GB2312" w:eastAsia="仿宋_GB2312"/>
          <w:b w:val="0"/>
          <w:sz w:val="32"/>
        </w:rPr>
        <w:t>其中：年末财政拨款结转和结余0.00万元，本年财政拨款支出652.42万元。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增加131.67万元，增长25.28%，主要原因是：本年在职人员增加5人，在职人员工资调增、社保、公积金基数调增，人员经费增加。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462.64万元，决算数652.42万元，预决算差异率41.02%，主要原因是：年中追加院区老旧设施维修改造和设备购置项目，导致预决算存在差异。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312.95万元，占比47.97%，主要用于人员工资福利支出、日常公用经费支出、基层医疗业务运行保障支出、基本公共卫生服务项目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2025年度一般公共预算财政拨款支出648.90万元，</w:t>
      </w:r>
      <w:r>
        <w:rPr>
          <w:rFonts w:ascii="仿宋_GB2312" w:hAnsi="仿宋_GB2312" w:eastAsia="仿宋_GB2312"/>
          <w:b w:val="0"/>
          <w:sz w:val="32"/>
        </w:rPr>
        <w:t>占本年支出合计的82.46%。</w:t>
      </w:r>
      <w:r>
        <w:rPr>
          <w:rFonts w:ascii="仿宋_GB2312" w:hAnsi="仿宋_GB2312" w:eastAsia="仿宋_GB2312"/>
          <w:b/>
          <w:sz w:val="32"/>
        </w:rPr>
        <w:t>与上年相比，</w:t>
      </w:r>
      <w:r>
        <w:rPr>
          <w:rFonts w:ascii="仿宋_GB2312" w:hAnsi="仿宋_GB2312" w:eastAsia="仿宋_GB2312"/>
          <w:b w:val="0"/>
          <w:sz w:val="32"/>
        </w:rPr>
        <w:t>增加131.35万元，增长25.38%，主要原因是：本年在职人员增加5人，在职人员工资调增、社保、公积金基数调增，人员经费增加。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459.11万元，决算数648.90万元，预决算差异率41.34%，主要原因是：年中追加院区老旧设施维修改造和设备购置项目，导致预决算存在差异。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1.社会保障和就业支出（类）79.99万元，占12.33%。</w:t>
      </w:r>
    </w:p>
    <w:p>
      <w:pPr>
        <w:spacing w:line="580" w:lineRule="exact"/>
        <w:ind w:firstLine="640"/>
        <w:jc w:val="both"/>
      </w:pPr>
      <w:r>
        <w:rPr>
          <w:rFonts w:ascii="仿宋_GB2312" w:hAnsi="仿宋_GB2312" w:eastAsia="仿宋_GB2312"/>
          <w:b w:val="0"/>
          <w:sz w:val="32"/>
        </w:rPr>
        <w:t>2.卫生健康支出（类）541.33万元，占83.42%。</w:t>
      </w:r>
    </w:p>
    <w:p>
      <w:pPr>
        <w:spacing w:line="580" w:lineRule="exact"/>
        <w:ind w:firstLine="640"/>
        <w:jc w:val="both"/>
      </w:pPr>
      <w:r>
        <w:rPr>
          <w:rFonts w:ascii="仿宋_GB2312" w:hAnsi="仿宋_GB2312" w:eastAsia="仿宋_GB2312"/>
          <w:b w:val="0"/>
          <w:sz w:val="32"/>
        </w:rPr>
        <w:t>3.住房保障支出（类）27.58万元，占4.25%。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1.社会保障和就业支出（类）行政事业单位养老支出（款）事业单位离退休（项）：支出决算数为2.99万元，比上年决算增加1.07万元，增长55.73%，主要原因是：本年增加退休人员基础绩效奖，退休费支出增加。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34.82万元，比上年决算增加2.99万元，增长9.39%，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42.18万元，比上年决算增加26.29万元，增长165.45%，主要原因是：本年在职人员工资基数调增，职业年金基数上涨，相应支出增加。本年在职人员增加，职业年金缴费较上年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1.35万元，增长100.75%，主要原因是：本年增加医疗服务与保障能力提升【卫生健康人才培养培训】补助资金，导致经费较上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5.卫生健康支出（类）基层医疗卫生机构（款）乡镇卫生院（项）：支出决算数为312.95万元，比上年决算增加28.36万元，增长9.97%，主要原因是：本年在职人员增加5人，在职人员工资调增、人员经费增加。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63.08万元，比上年决算增加48.64万元，增长336.84%，主要原因是：年中追加院区老旧设施维修改造和设备购置项目，导致预决算存在差异。</w:t>
      </w:r>
    </w:p>
    <w:p>
      <w:pPr>
        <w:spacing w:line="580" w:lineRule="exact"/>
        <w:ind w:firstLine="640"/>
        <w:jc w:val="both"/>
      </w:pPr>
      <w:r>
        <w:rPr>
          <w:rFonts w:ascii="仿宋_GB2312" w:hAnsi="仿宋_GB2312" w:eastAsia="仿宋_GB2312"/>
          <w:b w:val="0"/>
          <w:sz w:val="32"/>
        </w:rPr>
        <w:t>7.卫生健康支出（类）公共卫生（款）基本公共卫生服务（项）：支出决算数为106.77万元，比上年决算增加6.43万元，增长6.41%，主要原因是：本年增加公共卫生服务补助资金，导致经费较上年增加。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8.卫生健康支出（类）公共卫生（款）重大公共卫生服务（项）：支出决算数为0.30万元，比上年决算减少0.01万元，下降3.23%，主要原因是：本年减少中央重大传染病补助资金，导致经费较上年减少。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9.卫生健康支出（类）公共卫生（款）其他公共卫生支出（项）：支出决算数为26.85万元，比上年决算增加2.24万元，增长9.10%，主要原因是：本年增加其他公共卫生支出补助资金，导致经费较上年增加。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20.10万元，比上年决算增加3.81万元，增长23.39%，主要原因是：本年在职人员工资基数调增，医疗基数上涨，相应支出增加。本年在职人员增加，医疗缴费较上年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8.60万元，比上年决算增加7.58万元，增长743.14%，主要原因是：本年在职人员工资基数调增，医疗缴费基数上涨，相应支出增加。本年在职人员增加，公务员医疗补助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27.58万元，比上年决算增加2.61万元，增长10.45%，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2025年度一般公共预算财政拨款基本支出449.22万元，其中：</w:t>
      </w:r>
      <w:r>
        <w:rPr>
          <w:rFonts w:ascii="仿宋_GB2312" w:hAnsi="仿宋_GB2312" w:eastAsia="仿宋_GB2312"/>
          <w:b/>
          <w:sz w:val="32"/>
        </w:rPr>
        <w:t>人员经费434.43万元，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公用经费14.78万元，</w:t>
      </w:r>
      <w:r>
        <w:rPr>
          <w:rFonts w:ascii="仿宋_GB2312" w:hAnsi="仿宋_GB2312" w:eastAsia="仿宋_GB2312"/>
          <w:b w:val="0"/>
          <w:sz w:val="32"/>
        </w:rPr>
        <w:t>包括：办公费、印刷费、水费、电费、邮电费、维修（护）费、工会经费、福利费、其他商品和服务支出、办公设备购置。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2025年度政府性基金预算财政拨款收入总计3.53万元，</w:t>
      </w:r>
      <w:r>
        <w:rPr>
          <w:rFonts w:ascii="仿宋_GB2312" w:hAnsi="仿宋_GB2312" w:eastAsia="仿宋_GB2312"/>
          <w:b w:val="0"/>
          <w:sz w:val="32"/>
        </w:rPr>
        <w:t>其中：年初结转和结余0.00万元，本年收入3.53万元。</w:t>
      </w:r>
      <w:r>
        <w:rPr>
          <w:rFonts w:ascii="仿宋_GB2312" w:hAnsi="仿宋_GB2312" w:eastAsia="仿宋_GB2312"/>
          <w:b/>
          <w:sz w:val="32"/>
        </w:rPr>
        <w:t>政府性基金预算财政拨款支出总计3.53万元，</w:t>
      </w:r>
      <w:r>
        <w:rPr>
          <w:rFonts w:ascii="仿宋_GB2312" w:hAnsi="仿宋_GB2312" w:eastAsia="仿宋_GB2312"/>
          <w:b w:val="0"/>
          <w:sz w:val="32"/>
        </w:rPr>
        <w:t>其中：年末结转和结余0.00万元，本年支出3.53万元。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增加0.33万元，增长10.31%，主要原因是：本年社会福利的彩票公益金项目的资金增加。</w:t>
      </w:r>
      <w:r>
        <w:rPr>
          <w:rFonts w:ascii="仿宋_GB2312" w:hAnsi="仿宋_GB2312" w:eastAsia="仿宋_GB2312"/>
          <w:b/>
          <w:sz w:val="32"/>
        </w:rPr>
        <w:t>与年初预算相比，</w:t>
      </w:r>
      <w:r>
        <w:rPr>
          <w:rFonts w:ascii="仿宋_GB2312" w:hAnsi="仿宋_GB2312" w:eastAsia="仿宋_GB2312"/>
          <w:b w:val="0"/>
          <w:sz w:val="32"/>
        </w:rPr>
        <w:t>年初预算数3.53万元，决算数3.53万元，预决算差异率0.00%，主要原因是：严格按照预算执行，预决算无差异。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政府性基金预算财政拨款本年支出3.53万元。具体情况如下：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3.20万元，下降100.00%，主要原因是：本年功能科目调整，社会福利的彩票公益金支出上年度在社会福利的彩票公益金支出科目列支，本年在城乡医疗救助的彩票公益金科目列支，导致经费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3.53万元，比上年决算增加3.53万元，增长100.00%，主要原因是：本年功能科目调整，社会福利的彩票公益金支出上年度在城乡医疗救助的彩票公益金科目列支，本年在会福利的彩票公益金支出科目列支，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医疗业务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2025年度吉木萨尔县北庭镇卫生院（事业单位）公用经费支出14.78万元，比上年减少2.24万元，下降13.16%，主要原因是：本年减少办公费、印刷费、水费、取暖费、办公设备购置费等支出，公用经费支出减少。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2025年度政府采购支出总额4.50万元，其中：政府采购货物支出3.90万元、政府采购工程支出0.00万元、政府采购服务支出0.59万元。</w:t>
      </w:r>
    </w:p>
    <w:p>
      <w:pPr>
        <w:spacing w:line="580" w:lineRule="exact"/>
        <w:ind w:firstLine="640"/>
        <w:jc w:val="both"/>
      </w:pPr>
      <w:r>
        <w:rPr>
          <w:rFonts w:ascii="仿宋_GB2312" w:hAnsi="仿宋_GB2312" w:eastAsia="仿宋_GB2312"/>
          <w:b w:val="0"/>
          <w:sz w:val="32"/>
        </w:rPr>
        <w:t>授予中小企业合同金额2.55万元，占政府采购支出总额的56.67%，其中：授予小微企业合同金额1.85万元，占政府采购支出总额的41.11%。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885.00平方米，价值181.69万元。车辆2辆，价值39.05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820.71万元，实际执行总额786.96万元；预算绩效评价项目3个，全年预算数89.59万元，全年执行数89.59万元。预算绩效管理取得的成效：我单位2025年度部门整体支出绩效自评综合评价结果为“优”。我单位2025年部门履职效果良好，主要体现在：一是：完成了全民体检任务并规范居民健康档案，做到了健康档案内容详实、填写规范。对辖区65岁及以上老年人进行登记管理，进行健康危险因素调查和一般体格检查，提供疾病预防、自我保健及伤害预防、自救等健康指导是老年人健康管理的主要内容。二是：主要是对高血压、2型糖尿病等慢性病高危人群进行健康指导。对35岁以上人群实行门诊首诊测血压。对确诊高血压和糖尿病的患者进行登记管理，定期进行随访，并对他们进行体格检查及用药、饮食、运动、心理等健康指导。三是：加强医护患沟通提倡人性化服务，重点加强基础理论及基本操作技术的提高，理论与实践相结合，狠抓落实，认真实施，圆满地完成了医疗护理上的各项工作任务。发现的问题及原因：1.医疗资源短缺：尽管购置了一些新设备，但与群众日益增长的医疗需求相比，仍存在医疗设备不够先进、齐全的问题。人才队伍建设仍需加强，高学历、高职称专业人才相对不足，影响了医院的医疗技术水平提升。2.服务质量有待提高：在医疗服务过程中，部分医护人员的服务态度还不够热情、耐心，沟通技巧有待提高，影响了患者满意度。医院的就医环境还需进一步改善，如病房设施陈旧、候诊区空间有限等。3.信息化建设不完善：医院信息化管理系统还存在一些漏洞和不足之处，如信息共享不畅、系统稳定性不够等，影响了医疗业务的高效开展。下一步改进措施：预算执行方面：不断强化预算意识，并结合工作实际，进行科学合理分配细化，及时跟踪项目预算执行进度，科学合理安排支出，降低预算支出的波动幅度。项目管理及实施方面：严格执行项目支出预算，积极推进项目实施。落实预算执行分析，及时了解预算执行差异，合理调整、纠正预算执行偏差，切实提高部门预算收支管理水平，严格做到决算与预算相一致。加强对预算执行过程的控制和结果的反馈，对预算执行差异及时分析成因和影响，并及时向领导进行反馈，以采取措施纠正执行偏差，促进预算目标的全面完成。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吉木萨尔县北庭镇卫生院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521.39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521.39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139.25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168.23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1,641.42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1,573.92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1,641.42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1,573.92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实现医疗收入增长率达到10%以上，基本药物配备率达到86.42%，受益总诊疗人次达到13149人次，受益村民满意。加强双向转诊服务，上下联动，互惠互赢。通过实施基本公共卫生服务慢性病管理项目，对辖区居民的慢性病及相关危险因素实施干预措施，减少主要健康危险因素，有效预防和控制高血压、糖尿病等慢性病，按要求完成全民体检完成率达到95%，两类人群规范管理率达到70%，开展健康讲座12次，预防接种率达到95%，老年人健康管理人数达到1232人。依据居民需求、季节多发病安排讲座内容，按照季节变化增加手足口、流感等流行性传染病的内容。免费向辖区孕产妇提供基本保健服务，规范孕产妇保健，做好早孕建册、产前检查和产后访视工作，孕产妇系统管理率达到60%，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820.71万元，全年执行数为786.96万元，预算执行率为95.89%，主要完成以下内容：保障了在编人员23人、退休人员3人、遗属补助2人、村医10人的工资社保、人员经费保障率达到100%，工资发放及时率达到100%，职工满意度达到98.86%，年门急诊就诊人次29021人。</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全民体检完成率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孕产妇系统管理率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两类人群规范管理率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健康讲座次数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预防接种率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老年人健康管理人数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&gt;=1232人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=1448人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吉木萨尔县北庭镇卫生院2025年预算批复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&gt;=86.42%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受益总诊疗人次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&gt;=13149人次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=12255人次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吉木萨尔县北庭镇卫生院2024年工作总结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7.84</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89.02</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免费向城乡居民提供基本公共卫生服务。项目总投资73.9135万元，项目计划于2025年12月10日前完成，本项目为免费向城乡居民提供基本公共卫生服务。全区所有县（市、区）内常住人口，均可免费享受国家基本公共卫生服务规范（第三版）所列的基本公共卫生服务。适龄儿童国家免疫规划疫苗接种率达到90%：7岁以下儿童健康管理率达到85%；孕产妇系统管理率达到90%；高血压患者管理人数865人；2型糖尿病患者管理人数279人：老年人中医药健康管理率达到65%；儿童中医药健康管理率达到65%；居民规范化电子健康档案覆盖率达到65%；高血压患者基层规范管理服务率达到75%；2型糖尿病患者基层规范管理服务率达到75%；65岁及以上老年人城乡规范健康管理服务率达到65%。基本公共卫生服务水平不断提高。待项目实施完成，争取使受益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73.91万元，资金支付率100%，本项目实际完成73.91万元；通过本项目的实施，加强了基层公共卫生服务体系建设与疾病综合防控能力，提升群众健康素养，增强防病意识，减少常见病、慢性病发生及基层医疗卫生机构服务质量，促进了基本公共卫生服务均等化、居民健康水平持续改善及卫生健康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高血压患者规范管理人数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&gt;=864人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此项目指标未完成，存在偏差，偏差率为-6.01%，偏差原因为我院实际高血压管理人数室916人，下一年度改进措施：年初设置目标时，考虑到指标变动性。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糖尿病患者规范管理人数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&gt;=279人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此项目指标未完成，存在偏差，偏差率-8.96为%，偏差原因为我院实际糖尿病管理人数室304人，下一年度改进措施：年初设置目标时，考虑到指标变动性。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此项目指标未完成，存在偏差，偏差率为-15.29%，偏差原因为儿童健康管理率达到98%，下一年度改进措施：年初设置目标时，考虑到指标变动性。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此项目指标未完成，存在偏差，偏差率为11.11%，偏差原因为孕产妇管理率达到80%，下一年度改进措施：年初设置目标时，考虑到指标变动性。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此项目指标未完成，存在偏差，偏差率为-17.16%，偏差原因为居民规范化电子健康档案覆盖率达到93.73%，下一年度改进措施：年初设置目标时，考虑到指标变动性。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家庭医生签约常住人口签约率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此项目指标未完成，存在偏差，偏差率为-87.32%，偏差原因为家庭医生签约常住人口签约率达到93.66%，下一年度改进措施：年初设置目标时，考虑到指标变动性。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城乡居民公共卫生差距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此项目指标未完成，存在偏差，偏差率为-5.56%，偏差原因为群众满意度达到95%，下一年度改进措施：年初设置目标时，考虑到指标变动性。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2025年基本药物补偿款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层医疗卫生机构按要求实施基本药物制度。本项目主要实施内容为：支持乡镇卫生院实施国家基本药物制度，确保基本药物的公平可及和足额供应，同时减轻群众药费负担，提升基层医疗服务水平。项目总投资12.15万元，项目计划于2025年12月10日前完成。通过本项目的实施本院基本药物药品品种达到230种，实施基本药物制度的村卫生室占比达到100%，基层医疗卫生机构资金执行率达到100%。待项目实施完成，争取受益人群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资金12.15万元，预算执行率100%，实际已完成12.15万元，通过实施本项目：加强了基层药品供应保障能力：健全城乡药品配送网络，保障基层（村、乡、社区）有药可用。规范配备、优先使用、处方点评，强化基药主体地位。提升了基本药物可及性：基层配备品种、覆盖范围、配送时效明显提高，群众用药保障水平：医保高比例报销、零差率，减轻用药负担， 临床合理用药水平：遏制滥用、过度用药，提升医疗安全与质量，基层医疗卫生服务能力 ：稳定基层队伍，推动“小病不出村”。促进了医药卫生体制改革深化 ：破除“以药补医”，推动公立医院高质量发展分级诊疗落地 ：上下医疗机构用药衔接，引导患者合理分流，医疗资源优化配置：资源下沉基层，提升体系整体效率，保障人人享有质优价廉的基本用药。</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=256种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此项目指标未完成，存在偏差，偏差率为-11.30%，偏差原因为本院基本药物药品品种数增加。下一年度改进措施：年初设置目标时，考虑到指标变动性。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村卫生室基本药物补助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卫生院基本药物补助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基本药物药品利用率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此项目指标未完成，存在偏差，偏差率为-15.29%，偏差原因为群众对基本药物政策知晓率低，用药服务的响应速度和细致度不足，下一年度改进措施：年初设置目标时，考虑到指标变动性。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2025年自治区彩票公益卫生健康领域项目资金（失能老人）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为65岁及以上老年人提供医养结合服务。项目总投资3.53万元，项目计划于2025年12月完成，通过本项目实施乡镇卫生院每年为辖区内65岁及以上居家养老的老年人进行两次医养结合服务，内容包含血压测量、末梢血血糖检测、康复指导、护理技能指导、保健咨询、营养改善指导6个方面。对高龄、失能、行动不便的老年人上门进行服务。待项目实施完成，争取使受益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截至2025年12月31日，本项目实际支付资金3.53万元，预算执行率100%，实际已完成3.53万元，通过本项目的实施，加强了医疗与照护协同机制，推进医养结合与双向转诊，家庭医生上门、健康评估等服务常态化 ，消费补贴与服务监管联动，保障服务质量与安全。提升了老年人生活质量与尊严，健康评估、康复护理、心理支持等服务供给能力，促进了养老服务与医养融合发展。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居家失能老年人服务人数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此项目指标未完成，存在偏差，偏差率为3.36%，偏差原因为我院完成了134名失能老人的评估作业任务。下一年度改进措施：年初设置目标时，考虑到指标变动性。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医养结合老年人服务人数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此项目指标未完成，存在偏差，偏差率为50%，偏差原因为我院完成了60名医养结合老人的评估作业任务。下一年度改进措施：年初设置目标时，考虑到指标变动性。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失能老人评估率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此项目指标未完成，存在偏差，偏差率为-19.4%，偏差原因为通过评估，失能老人评估率达到95.52%。下一年度改进措施：年初设置目标时，考虑到指标变动性。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老年人评估率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此项目指标未完成，存在偏差，偏差率为-13.69%，偏差原因为通过评估，老人健康评估率达到96.64%。下一年度改进措施：年初设置目标时，考虑到指标变动性。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医养结合完成率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此项目指标未完成，存在偏差，偏差率为1.97%，偏差原因为通过评估，医养结合完成率率达到83.33%。下一年度改进措施：年初设置目标时，考虑到指标变动性。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医养结合服务次数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失能老人人均补助资金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耗材费支出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此项目指标未完成，存在偏差，偏差率为-35.18%，偏差原因为我院给失能老人购买2.19万元的生活辅助品，下一年度改进措施：年初设置目标时，考虑到指标变动性。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失能老人服务水平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老年健康服务水平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受益老人满意度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此项目指标未完成，存在偏差，偏差率为-5.56%，偏差原因为通过提供上门服务，使得受益老人满意度达到100%。下一年度改进措施：年初设置目标时，考虑到指标变动性。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83.74分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