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吉木萨尔县北庭学研究院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承担北庭故城遗址的保护、考古、管理工作；北庭故城遗址的项目申报及实施工作；北庭西大寺的壁画、泥塑等文物的保护修复以及文物讲解、文物陈展、北庭历史文化研究和文物档案资料整理工作；北庭故城遗址的实时监测及安防工作；发挥爱国主义教育基地作用。负责北庭学术研究工作，北庭历史文化研究、历史资料收集、整理；加强北庭学研究和宣传；开展北庭文化的各类学术活动等工作；建立北庭学智库，成立专家委员会。</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吉木萨尔县北庭学研究院无下属预算单位。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2025年度收入总计904.71万元，</w:t>
      </w:r>
      <w:r>
        <w:rPr>
          <w:rFonts w:ascii="仿宋_GB2312" w:hAnsi="仿宋_GB2312" w:eastAsia="仿宋_GB2312"/>
          <w:b w:val="0"/>
          <w:sz w:val="32"/>
        </w:rPr>
        <w:t>其中：本年收入合计901.38万元，使用非财政拨款结余（含专用结余）0.00万元，年初结转和结余3.33万元。</w:t>
      </w:r>
    </w:p>
    <w:p>
      <w:pPr>
        <w:spacing w:line="580" w:lineRule="exact"/>
        <w:ind w:firstLine="640"/>
        <w:jc w:val="both"/>
      </w:pPr>
      <w:r>
        <w:rPr>
          <w:rFonts w:ascii="仿宋_GB2312" w:hAnsi="仿宋_GB2312" w:eastAsia="仿宋_GB2312"/>
          <w:b/>
          <w:sz w:val="32"/>
        </w:rPr>
        <w:t>2025年度支出总计904.71万元，</w:t>
      </w:r>
      <w:r>
        <w:rPr>
          <w:rFonts w:ascii="仿宋_GB2312" w:hAnsi="仿宋_GB2312" w:eastAsia="仿宋_GB2312"/>
          <w:b w:val="0"/>
          <w:sz w:val="32"/>
        </w:rPr>
        <w:t>其中：本年支出合计893.13万元，结余分配0.00万元，年末结转和结余11.58万元。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增加161.68万元，增长21.76%，主要原因是：本年北庭故城遗址数字化提升改造项目资金增加。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本年收入901.38万元，</w:t>
      </w:r>
      <w:r>
        <w:rPr>
          <w:rFonts w:ascii="仿宋_GB2312" w:hAnsi="仿宋_GB2312" w:eastAsia="仿宋_GB2312"/>
          <w:b w:val="0"/>
          <w:sz w:val="32"/>
        </w:rPr>
        <w:t>其中：财政拨款收入881.75万元，占97.82%；上级补助收入0.00万元，占0.00%；事业收入0.00万元，占0.00%；经营收入0.00万元，占0.00%；附属单位上缴收入0.00万元，占0.00%；其他收入19.63万元，占2.18%。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本年支出893.13万元，</w:t>
      </w:r>
      <w:r>
        <w:rPr>
          <w:rFonts w:ascii="仿宋_GB2312" w:hAnsi="仿宋_GB2312" w:eastAsia="仿宋_GB2312"/>
          <w:b w:val="0"/>
          <w:sz w:val="32"/>
        </w:rPr>
        <w:t>其中：基本支出393.19万元，占44.02%；项目支出499.94万元，占55.98%；上缴上级支出0.00万元，占0.00%；经营支出0.00万元，占0.00%；对附属单位补助支出0.00万元，占0.00%。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2025年度财政拨款收入总计881.75万元，</w:t>
      </w:r>
      <w:r>
        <w:rPr>
          <w:rFonts w:ascii="仿宋_GB2312" w:hAnsi="仿宋_GB2312" w:eastAsia="仿宋_GB2312"/>
          <w:b w:val="0"/>
          <w:sz w:val="32"/>
        </w:rPr>
        <w:t>其中：年初财政拨款结转和结余0.00万元，本年财政拨款收入881.75万元。</w:t>
      </w:r>
      <w:r>
        <w:rPr>
          <w:rFonts w:ascii="仿宋_GB2312" w:hAnsi="仿宋_GB2312" w:eastAsia="仿宋_GB2312"/>
          <w:b/>
          <w:sz w:val="32"/>
        </w:rPr>
        <w:t>财政拨款支出总计881.75万元，</w:t>
      </w:r>
      <w:r>
        <w:rPr>
          <w:rFonts w:ascii="仿宋_GB2312" w:hAnsi="仿宋_GB2312" w:eastAsia="仿宋_GB2312"/>
          <w:b w:val="0"/>
          <w:sz w:val="32"/>
        </w:rPr>
        <w:t>其中：年末财政拨款结转和结余0.00万元，本年财政拨款支出881.75万元。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增加155.62万元，增长21.43%，主要原因是：本年北庭故城遗址数字化提升改造项目资金增加。</w:t>
      </w:r>
      <w:r>
        <w:rPr>
          <w:rFonts w:ascii="仿宋_GB2312" w:hAnsi="仿宋_GB2312" w:eastAsia="仿宋_GB2312"/>
          <w:b/>
          <w:sz w:val="32"/>
        </w:rPr>
        <w:t>与年初预算相比，</w:t>
      </w:r>
      <w:r>
        <w:rPr>
          <w:rFonts w:ascii="仿宋_GB2312" w:hAnsi="仿宋_GB2312" w:eastAsia="仿宋_GB2312"/>
          <w:b w:val="0"/>
          <w:sz w:val="32"/>
        </w:rPr>
        <w:t>年初预算数630.80万元，决算数881.75万元，预决算差异率39.78%，主要原因是：本年北庭故城遗址数字化提升改造项目资金增加。</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北庭故城考古保护、研究阐释与活化利用等重点支出，体现在有关支出科目中。</w:t>
      </w:r>
    </w:p>
    <w:p>
      <w:pPr>
        <w:spacing w:line="580" w:lineRule="exact"/>
        <w:ind w:firstLine="640"/>
        <w:jc w:val="both"/>
      </w:pPr>
      <w:r>
        <w:rPr>
          <w:rFonts w:ascii="仿宋_GB2312" w:hAnsi="仿宋_GB2312" w:eastAsia="仿宋_GB2312"/>
          <w:b w:val="0"/>
          <w:sz w:val="32"/>
        </w:rPr>
        <w:t>按照支出功能分类，文化旅游体育与传媒支出（类）文物（款）其他文物支出（项）的支出占本年财政拨款支出总额的比重最高，2025年度决算数为276.95万元，占比31.41%，主要用于北庭故城数字化提升改造项目。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2025年度一般公共预算财政拨款支出881.75万元，</w:t>
      </w:r>
      <w:r>
        <w:rPr>
          <w:rFonts w:ascii="仿宋_GB2312" w:hAnsi="仿宋_GB2312" w:eastAsia="仿宋_GB2312"/>
          <w:b w:val="0"/>
          <w:sz w:val="32"/>
        </w:rPr>
        <w:t>占本年支出合计的98.73%。</w:t>
      </w:r>
      <w:r>
        <w:rPr>
          <w:rFonts w:ascii="仿宋_GB2312" w:hAnsi="仿宋_GB2312" w:eastAsia="仿宋_GB2312"/>
          <w:b/>
          <w:sz w:val="32"/>
        </w:rPr>
        <w:t>与上年相比，</w:t>
      </w:r>
      <w:r>
        <w:rPr>
          <w:rFonts w:ascii="仿宋_GB2312" w:hAnsi="仿宋_GB2312" w:eastAsia="仿宋_GB2312"/>
          <w:b w:val="0"/>
          <w:sz w:val="32"/>
        </w:rPr>
        <w:t>增加155.62万元，增长21.43%，主要原因是：本年北庭故城遗址数字化提升改造项目资金增加。</w:t>
      </w:r>
      <w:r>
        <w:rPr>
          <w:rFonts w:ascii="仿宋_GB2312" w:hAnsi="仿宋_GB2312" w:eastAsia="仿宋_GB2312"/>
          <w:b/>
          <w:sz w:val="32"/>
        </w:rPr>
        <w:t>与年初预算相比，</w:t>
      </w:r>
      <w:r>
        <w:rPr>
          <w:rFonts w:ascii="仿宋_GB2312" w:hAnsi="仿宋_GB2312" w:eastAsia="仿宋_GB2312"/>
          <w:b w:val="0"/>
          <w:sz w:val="32"/>
        </w:rPr>
        <w:t>年初预算数630.80万元，决算数881.75万元，预决算差异率39.78%，主要原因是：本年北庭故城遗址数字化提升改造项目资金增加。</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1.一般公共服务支出（类）5.00万元，占0.57%。</w:t>
      </w:r>
    </w:p>
    <w:p>
      <w:pPr>
        <w:spacing w:line="580" w:lineRule="exact"/>
        <w:ind w:firstLine="640"/>
        <w:jc w:val="both"/>
      </w:pPr>
      <w:r>
        <w:rPr>
          <w:rFonts w:ascii="仿宋_GB2312" w:hAnsi="仿宋_GB2312" w:eastAsia="仿宋_GB2312"/>
          <w:b w:val="0"/>
          <w:sz w:val="32"/>
        </w:rPr>
        <w:t>2.科学技术支出（类）39.99万元，占4.54%。</w:t>
      </w:r>
    </w:p>
    <w:p>
      <w:pPr>
        <w:spacing w:line="580" w:lineRule="exact"/>
        <w:ind w:firstLine="640"/>
        <w:jc w:val="both"/>
      </w:pPr>
      <w:r>
        <w:rPr>
          <w:rFonts w:ascii="仿宋_GB2312" w:hAnsi="仿宋_GB2312" w:eastAsia="仿宋_GB2312"/>
          <w:b w:val="0"/>
          <w:sz w:val="32"/>
        </w:rPr>
        <w:t>3.文化旅游体育与传媒支出（类）718.83万元，占81.52%。</w:t>
      </w:r>
    </w:p>
    <w:p>
      <w:pPr>
        <w:spacing w:line="580" w:lineRule="exact"/>
        <w:ind w:firstLine="640"/>
        <w:jc w:val="both"/>
      </w:pPr>
      <w:r>
        <w:rPr>
          <w:rFonts w:ascii="仿宋_GB2312" w:hAnsi="仿宋_GB2312" w:eastAsia="仿宋_GB2312"/>
          <w:b w:val="0"/>
          <w:sz w:val="32"/>
        </w:rPr>
        <w:t>4.社会保障和就业支出（类）71.85万元，占8.15%。</w:t>
      </w:r>
    </w:p>
    <w:p>
      <w:pPr>
        <w:spacing w:line="580" w:lineRule="exact"/>
        <w:ind w:firstLine="640"/>
        <w:jc w:val="both"/>
      </w:pPr>
      <w:r>
        <w:rPr>
          <w:rFonts w:ascii="仿宋_GB2312" w:hAnsi="仿宋_GB2312" w:eastAsia="仿宋_GB2312"/>
          <w:b w:val="0"/>
          <w:sz w:val="32"/>
        </w:rPr>
        <w:t>5.卫生健康支出（类）23.24万元，占2.64%。</w:t>
      </w:r>
    </w:p>
    <w:p>
      <w:pPr>
        <w:spacing w:line="580" w:lineRule="exact"/>
        <w:ind w:firstLine="640"/>
        <w:jc w:val="both"/>
      </w:pPr>
      <w:r>
        <w:rPr>
          <w:rFonts w:ascii="仿宋_GB2312" w:hAnsi="仿宋_GB2312" w:eastAsia="仿宋_GB2312"/>
          <w:b w:val="0"/>
          <w:sz w:val="32"/>
        </w:rPr>
        <w:t>6.住房保障支出（类）22.84万元，占2.59%。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1.一般公共服务支出（类）民族事务（款）其他民族事务支出（项）：支出决算数为2.00万元，比上年决算增加2.00万元，增长100.00%，主要原因是：本年增加培育全国民族团结进步示范州工作经费。</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2.一般公共服务支出（类）组织事务（款）其他组织事务支出（项）：支出决算数为3.00万元，比上年决算增加3.00万元，增长100.00%，主要原因是：本年增加人才工作经费。</w:t>
      </w:r>
    </w:p>
    <w:p>
      <w:pPr>
        <w:spacing w:line="580" w:lineRule="exact"/>
        <w:ind w:firstLine="640"/>
        <w:jc w:val="both"/>
      </w:pPr>
      <w:r>
        <w:rPr>
          <w:rFonts w:ascii="仿宋_GB2312" w:hAnsi="仿宋_GB2312" w:eastAsia="仿宋_GB2312"/>
          <w:b w:val="0"/>
          <w:sz w:val="32"/>
        </w:rPr>
        <w:t>3.科学技术支出（类）基础研究（款）科技人才队伍建设（项）：支出决算数为16.00万元，比上年决算增加16.00万元，增长100.00%，主要原因是：本年增加新疆人才发展基金“天池英才”生活补助。</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4.科学技术支出（类）科技条件与服务（款）其他科技条件与服务支出（项）：支出决算数为23.99万元，比上年决算减少90.01万元，下降78.96%，主要原因是：本年北庭故城遗址数字化提升改造项目资金减少。</w:t>
      </w:r>
    </w:p>
    <w:p>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178.00万元，比上年决算增加173.00万元，增长3,460.00%，主要原因是：本年增加出版发行费、开展活动费、第九届北庭学研讨会、北庭学研究院搬家费、文物征集费支出。</w:t>
      </w:r>
    </w:p>
    <w:p>
      <w:pPr>
        <w:spacing w:line="580" w:lineRule="exact"/>
        <w:ind w:firstLine="640"/>
        <w:jc w:val="both"/>
      </w:pPr>
      <w:r>
        <w:rPr>
          <w:rFonts w:ascii="仿宋_GB2312" w:hAnsi="仿宋_GB2312" w:eastAsia="仿宋_GB2312"/>
          <w:b w:val="0"/>
          <w:sz w:val="32"/>
        </w:rPr>
        <w:t>6.文化旅游体育与传媒支出（类）文物（款）行政运行（项）：支出决算数为263.88万元，比上年决算减少57.57万元，下降17.91%，主要原因是：本年北庭故城遗址运行经费减少。</w:t>
      </w:r>
    </w:p>
    <w:p>
      <w:pPr>
        <w:spacing w:line="580" w:lineRule="exact"/>
        <w:ind w:firstLine="640"/>
        <w:jc w:val="both"/>
      </w:pPr>
      <w:r>
        <w:rPr>
          <w:rFonts w:ascii="仿宋_GB2312" w:hAnsi="仿宋_GB2312" w:eastAsia="仿宋_GB2312"/>
          <w:b w:val="0"/>
          <w:sz w:val="32"/>
        </w:rPr>
        <w:t>7.文化旅游体育与传媒支出（类）文物（款）文物保护（项）：支出决算数为0.00万元，比上年决算减少50.00万元，下降100.00%，主要原因是：本年北庭学研讨会经费减少。</w:t>
      </w:r>
    </w:p>
    <w:p>
      <w:pPr>
        <w:spacing w:line="580" w:lineRule="exact"/>
        <w:ind w:firstLine="640"/>
        <w:jc w:val="both"/>
      </w:pPr>
      <w:r>
        <w:rPr>
          <w:rFonts w:ascii="仿宋_GB2312" w:hAnsi="仿宋_GB2312" w:eastAsia="仿宋_GB2312"/>
          <w:b w:val="0"/>
          <w:sz w:val="32"/>
        </w:rPr>
        <w:t>8.文化旅游体育与传媒支出（类）文物（款）其他文物支出（项）：支出决算数为276.95万元，比上年决算增加125.55万元，增长82.93%，主要原因是：本年北庭故城遗址数字化提升改造项目资金增加。</w:t>
      </w:r>
    </w:p>
    <w:p>
      <w:pPr>
        <w:spacing w:line="580" w:lineRule="exact"/>
        <w:ind w:firstLine="640"/>
        <w:jc w:val="both"/>
      </w:pPr>
      <w:r>
        <w:rPr>
          <w:rFonts w:ascii="仿宋_GB2312" w:hAnsi="仿宋_GB2312" w:eastAsia="仿宋_GB2312"/>
          <w:b w:val="0"/>
          <w:sz w:val="32"/>
        </w:rPr>
        <w:t>9.文化旅游体育与传媒支出（类）其他文化旅游体育与传媒支出（款）其他文化旅游体育与传媒支出（项）：支出决算数为0.00万元，比上年决算减少5.00万元，下降100.00%，主要原因是：本年减少中央补助地方公共文化服务体系建设专项资金。</w:t>
      </w:r>
    </w:p>
    <w:p>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10.社会保障和就业支出（类）行政事业单位养老支出（款）事业单位离退休（项）：支出决算数为0.37万元，比上年决算增加0.37万元，增长100.00%，主要原因是：本年新增退休人员1人。</w:t>
      </w:r>
    </w:p>
    <w:p>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28.08万元，比上年决算增加0.19万元，增长0.68%，主要原因是：本年在职人员缴费基数增加，单位基本养老保险缴费较上年增加。</w:t>
      </w:r>
    </w:p>
    <w:p>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43.40万元，比上年决算增加29.37万元，增长209.34%，主要原因是：本年增加补缴调出、辞职、在职人员职业年金。</w:t>
      </w:r>
    </w:p>
    <w:p>
      <w:pPr>
        <w:spacing w:line="580" w:lineRule="exact"/>
        <w:ind w:firstLine="640"/>
        <w:jc w:val="both"/>
      </w:pPr>
      <w:r>
        <w:rPr>
          <w:rFonts w:ascii="仿宋_GB2312" w:hAnsi="仿宋_GB2312" w:eastAsia="仿宋_GB2312"/>
          <w:b w:val="0"/>
          <w:sz w:val="32"/>
        </w:rPr>
        <w:t>13.卫生健康支出（类）行政事业单位医疗（款）事业单位医疗（项）：支出决算数为16.17万元，比上年决算增加2.22万元，增长15.91%，主要原因是：本年在职人员缴费基数增加，事业医疗保险缴费较上年增加。</w:t>
      </w:r>
    </w:p>
    <w:p>
      <w:pPr>
        <w:spacing w:line="580" w:lineRule="exact"/>
        <w:ind w:firstLine="640"/>
        <w:jc w:val="both"/>
      </w:pPr>
      <w:r>
        <w:rPr>
          <w:rFonts w:ascii="仿宋_GB2312" w:hAnsi="仿宋_GB2312" w:eastAsia="仿宋_GB2312"/>
          <w:b w:val="0"/>
          <w:sz w:val="32"/>
        </w:rPr>
        <w:t>14.卫生健康支出（类）行政事业单位医疗（款）公务员医疗补助（项）：支出决算数为7.07万元，比上年决算增加6.20万元，增长712.64%，主要原因是：本年在职人员缴费基数增加，公务员医疗补助缴费较上年增加。</w:t>
      </w:r>
    </w:p>
    <w:p>
      <w:pPr>
        <w:spacing w:line="580" w:lineRule="exact"/>
        <w:ind w:firstLine="640"/>
        <w:jc w:val="both"/>
      </w:pPr>
      <w:r>
        <w:rPr>
          <w:rFonts w:ascii="仿宋_GB2312" w:hAnsi="仿宋_GB2312" w:eastAsia="仿宋_GB2312"/>
          <w:b w:val="0"/>
          <w:sz w:val="32"/>
        </w:rPr>
        <w:t>15.住房保障支出（类）住房改革支出（款）住房公积金（项）：支出决算数为22.84万元，比上年决算增加0.31万元，增长1.38%，主要原因是：本年在职人员缴费基数增加，住房公积金缴费较上年增加。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2025年度一般公共预算财政拨款基本支出381.81万元，其中：</w:t>
      </w:r>
      <w:r>
        <w:rPr>
          <w:rFonts w:ascii="仿宋_GB2312" w:hAnsi="仿宋_GB2312" w:eastAsia="仿宋_GB2312"/>
          <w:b/>
          <w:sz w:val="32"/>
        </w:rPr>
        <w:t>人员经费349.50万元，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公用经费32.32万元，</w:t>
      </w:r>
      <w:r>
        <w:rPr>
          <w:rFonts w:ascii="仿宋_GB2312" w:hAnsi="仿宋_GB2312" w:eastAsia="仿宋_GB2312"/>
          <w:b w:val="0"/>
          <w:sz w:val="32"/>
        </w:rPr>
        <w:t>包括：办公费、电费、邮电费、差旅费、工会经费、公务用车运行维护费、其他交通费用。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2025年公务用车运行维护费开支主要为车辆加油、过路费及维修费支出。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2025年度吉木萨尔县北庭学研究院（事业单位）公用经费支出32.32万元，比上年减少63.42万元，下降66.24%，主要原因是：本年北庭故城遗址运行经费减少。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2025年度政府采购支出总额79.82万元，其中：政府采购货物支出5.32万元、政府采购工程支出0.00万元、政府采购服务支出74.51万元。</w:t>
      </w:r>
    </w:p>
    <w:p>
      <w:pPr>
        <w:spacing w:line="580" w:lineRule="exact"/>
        <w:ind w:firstLine="640"/>
        <w:jc w:val="both"/>
      </w:pPr>
      <w:r>
        <w:rPr>
          <w:rFonts w:ascii="仿宋_GB2312" w:hAnsi="仿宋_GB2312" w:eastAsia="仿宋_GB2312"/>
          <w:b w:val="0"/>
          <w:sz w:val="32"/>
        </w:rPr>
        <w:t>授予中小企业合同金额79.82万元，占政府采购支出总额的100.00%，其中：授予小微企业合同金额79.82万元，占政府采购支出总额的100.00%。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193.00平方米，价值383.72万元。车辆1辆，价值8.09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904.71万元，实际执行总额893.13万元；预算绩效评价项目9个，全年预算数515.32万元，全年执行数515.31万元。预算绩效管理取得的成效：一是围绕部门职能、中长期规划、年度工作计划、重点工作任务及要求，确定年度部门的绩效目标，按照确定的部门职责履行情况、部门运行有效情况及部门职能设置具体的指标；二是通过绩效评价分析部门支出对单位基本运转及单位职能履职的保障作用，总结经验做法，找出资金使用和管理中的薄弱环节，进一步加强预算管理，提高财政资金使用效益，为部门科学决策、规范管理提供参考。发现的问题及原因：一是部分业务人员绩效管理意识有待增强，未能全面深入认识理解绩效管理工作的意义；二是绩效管理经验不足，预算绩效管理工作有待进一步落实。下一步改进措施：一是加大绩效工作宣传力度，强化绩效理念，完善绩效指标，提高整体绩效目标质量；二是提升预算精细化管理水平，继续完善预算绩效管理相关工作制度，建立全过程预算绩效管理链条，有效贯彻落实全面实施绩效管理的精神。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吉木萨尔县北庭学研究院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630.80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883.71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872.13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1,291.60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1,809.42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1,786.26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1,291.60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1,809.42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1,786.26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加强北庭学研究工作，加大对北庭故城遗址保护、科学规划、有效利用，高标准召开第九届新疆北庭学研讨会，召开第八届北庭学研究院内部学术研讨会，出版发行北庭学研究相关书籍1本，编辑形成北庭学研究内部期刊，做好北庭学相关课题研究，积极申报区、州各类课题。推进北庭历史文化宣传力度，积极挖掘运用北庭历史文化资源，采取多种手段，开展宣传教育活动，持续开展志愿者讲解员培训及招募活动，开展北庭历史文化进基层活动达到20场次，及时开展北庭故城考古工作，及时开展各类宣传活动，配合中国社科院做好北庭故城的考古工作。加强大遗址保护专业人才培养，成立北庭文化遗产教育高层次人才工作室。</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904.71万元，实际支出数893.13万元，资金执行率98.72%。实际完成：高标准召开第九届新疆北庭学研讨会，召开第八届北庭学研究院内部学术研讨会，完成课题论文11篇；修订完善《昌吉回族自治州北庭故城遗址保护条例》；出版发行北庭学研究相关书籍5本，编辑形成北庭学研究内部期刊，做好北庭学相关课题研究，积极申报区、州各类课题。推进北庭历史文化宣传力度，开展系列活动21场次，修改形成适合不同受众讲解词3类，设计制作6类宣传折页3万册、9类宣传品4万件；及时开展北庭故城考古工作，完成2批次52件文物借展点交，联合考古工作队和自治区考古所开展文物修复工作，截至目前已修复文物524件；加强大遗址保护专业人才培养，举办吉木萨尔县文物业务能力提升培训班，覆盖全县40名文物从业人员，加强了文物和文化遗产保护传承工作，提升了研究阐释能力和水平，促进了北庭故城考古保护、研究阐释与活化利用工作稳步推进。</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学术论文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出版发行书籍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北庭学研究内部期刊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北庭历史文化进基层活动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及时开展北庭故城考古工作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及时开展各类宣传活动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第九届新疆北庭学研讨会的召开及时率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质量标准</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第八届北庭学研究院内部研讨会的召开及时率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成立北庭文化遗产教育高层次人才工作室</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北庭学研究院2025年工作计划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北庭学研究院12月电费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故城、北庭高昌回鹘佛寺遗址博物馆内电表、水表、电信网络账户过户给北庭文化旅游投资有限公司使用管理。在北庭故城运营中，2024年12月1日至2025年1月1日产生的电费、电采暖费合计153704.17元。扎实开展各项工作，构建文物到保护格局。</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15.37万元，资金执行率100%。本项目实际已完成北庭故城、北庭高昌回鹘佛寺遗址博物馆电费缴纳。通过本项目的实施，保证了北庭故城、北庭高昌回鹘佛寺遗址博物馆正常运转，为北庭故城遗址核心保护任务，扎实推进考古发掘、研究阐释、活化利用等各项工作提供了有效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电费总用电量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=353542千瓦时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=353542千瓦时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供电正常率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电费支付及时性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北庭故城景区正常运行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游客满意度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北庭学研究院2025年开展活动费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2025年开展“博物馆里过大年”活动、“5.18国际博物馆日”宣传、“中国文化和自然遗产日”活动、青少年讲解员培训和比赛活动、北庭历史文化进基层宣传教育活动，项目总投资4万元，项目计划于2025年12月前完成。通过本项目的实施，加强北庭历史文化宣传力度，积极挖掘运用北庭历史文化资源，切实发挥北庭在铸牢中华民族共同体意识教育中的重要作用，待项目实施完成，争取使社会公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4万元，资金执行率100%。本项目实际已完成开展专题宣传与宣讲活动11场次，累计覆盖受众3200余人次。同步对接各乡镇，精准制定活动详细计划，开展宣传与宣讲活动9场次，推动文化传播向基层延伸；精心打造《何以北庭》等9个精品课程。通过本项目的实施，为宣讲工作提供优质内容支撑，稳步推进各项任务落地见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-80%，偏差原因为：我单位在前期设定数量指标时，为确保项目的完成和保底思维，设定了5次的保守目标值，故与实际完成值产生偏差；下一年度改进措施：提高设立目标的精准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宣传内容的准确性和完整性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“博物馆里过大年”活动经费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&lt;=959元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=959元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“5.18国际博物馆日”宣传经费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&lt;=8177元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“中国文化和自然遗产日”活动经费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&lt;=8750元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青少年讲解员培训和比赛活动经费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&lt;=6301元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=6301元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北庭历史文化进基层活动经费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&lt;=15813元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=15813元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加强北庭历史文化宣传力度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有效宣传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受众参与度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社会公众满意度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84.00分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北庭学研究院出版发行费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2025年北庭学研究院出版《北庭出土文物精品图录》，收录与北庭相关50件文物图片，计划出版册数为500册，出版图书标准控制在200元/册以内，项目总投资为10万元，项目计划于2025年12月前完成。通过本项目的实施，系统提升文化遗产保护利用水平，深刻阐释北庭故城遗址在中华民族多元一体格局中的地位作用，铸牢中华民族共同体意识，待项目实施完成，争取使阅读群体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10万元，资金执行率100%。本项目实际已完成北庭故城遗址监测预警体系更新数据，半年报、年报定期上传到世界文化遗产监测预警总平台。通过本项目的实施，为改善文物的保存环境、控制文物病害的发展等提供必要的数据依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出版图书数量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收录与北庭相关文物图片数量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出版发行册数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-200%，偏差原因为：我单位在前期设定数量指标时，为确保项目的完成和保底思维，设定了500册的保守目标值，故与实际完成值产生偏差；下一年度改进措施：提高设立目标的精准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出版图书审读率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图书按时出版率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出版图书标准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&lt;=200元/册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=67元/册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66.5%，偏差原因为：我单位在前期设定数量指标时，为确保项目的完成和保底思维，设定了500册的保守目标值，实际完成了1500册，但金额总数不变还是10万元，故出版图书标准存在偏差；下一年度改进措施：提高设立目标的精准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出版图书正常使用率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提升文化遗产保护利用水平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阅读群体满意度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72.00分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北庭学研究院北庭故城遗址监测预警体系监测、游客管理系统</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北庭故城遗址监测预警体系需要时时更新数据，形成半年报、年报定期上传到世界文化遗产监测预警总平台。项目总投资24万元，项目计划于2025年12月31日完成。通过本项目的实施，为改善文物的保存环境、控制文物病害的发展等提供必要的数据依据，待项目实施完成，争取使使用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23.99万元，资金执行率99.96%。本项目实际已完成北庭故城遗址监测预警体系更新数据，半年报、年报定期上传到世界文化遗产监测预警总平台。通过本项目的实施，为改善文物的保存环境、控制文物病害的发展等提供必要的数据依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监测预警体系软件配置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监测预警体系硬件配置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系统维护故障率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项目维护周期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年度维护费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=23.99万元/年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此项指标未完成，存在偏差，偏差率为0.04%，偏差原因为：项目严格控制经费，导致实际支出数较年初预算数有一定结余，结余资金0.01万元；下一年度改进措施：提高预算编制准确性，严格按照预算进行支出。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信息系统定期上报率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提高北庭故址监测服务水平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北庭学研究院搬家费及维修改造费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文博中心六楼进行维修改造，墙面维修粉刷，老旧设施拆除，原西寺办公区空调及办公桌、沙发等办公设备拆装运输，项目总投资13.6万元，项目计划于2025年6月31日完成。通过本项目的实施，改善职工办公条件，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13.6万元，资金执行率100%。本项目实际已完成文博中心六楼办公室装修、改造及办公设备的搬迁工作。通过本项目的实施，改善了职工办公环境，保障了工作人员的正常办公，激发了职工工作积极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搬运次数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粉刷墙面面积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&gt;=1231平米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=1231平米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搬家运输费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保障文博中心正常运转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改善办公环境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北庭学研究院文物征集经费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做好吉木萨尔县文物工作需购置文物所需3D打印设备、彩色打印机等设备及配套专业耗材、出版图书等需要70万元；打造文物修复工作室、图书资料及数据库、文物干部培训等22.4万元，项目总投资92.4万元，项目计划于2025年12月前完成。通过本项目的实施，旨在增加馆藏文物数量，提升博物馆文物品质，满足全县各族人民精神文化需求，待项目实施完成，争取使受益参观群体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92.4万元，资金执行率100%。本项目实际已完成举办吉木萨尔县文物业务能力提升培训班，覆盖全县40名文物从业人员；先后选派63人次参加疆内外文化遗产数字化保护、文物修复等专业培训，内部拓展研究人员6名，围绕遗产保护、军镇体系等领域召开北庭学研究院第八届内部学术研讨会，完成课题论文11篇。在藏书达4737册的北庭历史研究数据库基础上，进一步充实图书资料室及学术资源共享数据库，订阅专业期刊32类、购置书籍481册及电子书480册，收集文书370余件、碑帖100余件，购置无人机1架，喷墨打印机一台等固定资产，为研究提供更坚实资料支撑。通过本项目的实施，在文物本体保护、历史价值挖掘、文化传播推广等方面取得了阶段性成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购买办公设备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打造文物修复工作室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设备检验合格率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购买设备图书出版金额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打造文物修复工作室、图书资料及数据库、文物干部培训等</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购买设备正常使用率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提升博物馆文物品质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参观群体满意度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北庭故城遗址数字化提升改造项目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购买数字化设备、新建配套基础设施以主钢结构支架及其他附属配套工程；拆除移装部分设备；新增户外高清LED显示屏；数字化视频内容制作等。为了更好落实文化润疆工程，保障文化产业的真实性和完整性，为文化遗产价值的提现奠定坚实基础，促进北庭故城发展的内在需求，提升游客体验感，吸引更多的游客来感受北庭故城文化，推动北庭故城开发利用。项目总投资396万元。2024年支付114万元，2025年支付276.95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276.95万元，资金执行率100%。本项目实际已完成购买数字化设备、新建配套基础设施以主钢结构支架及其他附属配套工程；拆除移装部分设备；新增户外高清LED显示屏；数字化视频内容制作等。通过本项目的实施，更好落实文化润疆工程，保障文化产业的真实性和完整性，为文化遗产价值的提现奠定坚实基础，促进北庭故城发展的内在需求，提升游客体验感，吸引更多的游客来感受北庭故城文化，推动北庭故城开发利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利旧设备的拆除数量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完成视频制作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设备安装验收合格率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2025年项目款支出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&lt;=276.95万元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提升游客体验感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达成预期指标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参观游客满意度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昌州财办行【2025】8号关于拨付新疆人才发展基金2025年度第二轮支持资金的通知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依据签订的《“天池英才”引进计划任务书》，以及特聘专家重点体现指导帮助解决关键问题、传帮带本土人才和团队等情况。根据郭物提交的任务完成工作小结、业绩成果佐证材料，给郭物拨付生活补助费16万元。根据《昌吉州人才计划项目资金管理使用办法》给胡涛拨付3万元生活补助及工作经费。深入贯彻中央、自治区党委人才工作会议精神，进一步稳定和激励本土人才，更好的推动科教兴疆战略、人才强区战略，为新疆经济社会发展提供高质量人才。</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19万元，资金执行率100%。本项目实际已完成举办文博业务骨干培训班2期，举办北庭故城遗址公共考古讲座2场，培训考古业务骨干2人，推进北庭考古工作站以及考古标本库房建设，指导开展博物馆定级评估，指导北庭学术研讨会、内部研讨会、出版书籍等工作。通过本项目的实施，北庭故城遗址得以顺利开展大规模提升方案的设计和实施，为吉木萨尔县的文旅事业提供强大的文化动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胡涛人才经费支出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郭物新疆人才发展基金支出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受补助人员满意度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第九届北庭学研讨会</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吉木萨尔县北庭学研究院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会议计划邀请历史研究、考古发掘、文物保护、展陈设计、活化利用等方面的专家80人左右，并收集相关学术论文，形成论文集30篇，研讨会参与人数达到100人，为进一步拓展北庭学研究奠定基础。项目计划于2025年12月31日完成，通过本项目的实施，扩大北庭学影响力，提升北庭故城遗产价值，传承发展中华优秀传统文化，不断培育和创造新时代中国特色社会主义文化，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60万元，资金执行率100%。本项目实际已完成：来自中央民族大学、上海大学、西北大学、中国社科院考古研究所、敦煌研究院、吐鲁番学研究院等27所高校、科研机构的80余位专家学者及哈萨克斯坦、土库曼斯坦的2名外籍专家参会，共探北庭历史文化的深厚内涵与时代价值。研讨会共收到国内高校、科研机构专家学者投稿98篇，经筛选，最终确定16篇主旨发言，54篇分论坛报告，形成论文集70篇。通过本项目的实施，充分体现了北庭学研究的深度拓展与范式转型，加强对北庭历史文化的研究，有助于进一步揭示北庭在东西方文明交流互鉴中的重要地位。</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邀请专家数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收集专家论文篇数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主要原因是收集专家论文数超出预期目标，本次会议超出预期，导致项目存在偏差。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研讨会参与人数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研讨会资金保障率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研讨会召开及时性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专家费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会议费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扩大北庭学影响力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提升北庭故城遗产价值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邀请专家满意度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