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吉木萨尔县供销合作社联合社</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（1）、贯彻落实党和政府商业流通有关方针政策，研究制定行业发展战略和规划，组织指导行业改革发展，负责行业管理，开展教育培训，维护合法权益。</w:t>
      </w:r>
    </w:p>
    <w:p>
      <w:pPr>
        <w:spacing w:line="580" w:lineRule="exact"/>
        <w:ind w:firstLine="640"/>
        <w:jc w:val="both"/>
      </w:pPr>
      <w:r>
        <w:rPr>
          <w:rFonts w:ascii="仿宋_GB2312" w:hAnsi="仿宋_GB2312" w:eastAsia="仿宋_GB2312"/>
          <w:sz w:val="32"/>
        </w:rPr>
        <w:t>（2）、贯彻落实党和政府有关服务“三农”方针政策，以供销合作社体系为依托，创新组织体系、服务体系，并依托金融机构开展农村金融代办服务。</w:t>
      </w:r>
    </w:p>
    <w:p>
      <w:pPr>
        <w:spacing w:line="580" w:lineRule="exact"/>
        <w:ind w:firstLine="640"/>
        <w:jc w:val="both"/>
      </w:pPr>
      <w:r>
        <w:rPr>
          <w:rFonts w:ascii="仿宋_GB2312" w:hAnsi="仿宋_GB2312" w:eastAsia="仿宋_GB2312"/>
          <w:sz w:val="32"/>
        </w:rPr>
        <w:t>（3）、按照政府授权，承担管理棉花、化肥、农药、羊毛、边销茶及救灾物资等国家和区级重要物资的储备任务。</w:t>
      </w:r>
    </w:p>
    <w:p>
      <w:pPr>
        <w:spacing w:line="580" w:lineRule="exact"/>
        <w:ind w:firstLine="640"/>
        <w:jc w:val="both"/>
      </w:pPr>
      <w:r>
        <w:rPr>
          <w:rFonts w:ascii="仿宋_GB2312" w:hAnsi="仿宋_GB2312" w:eastAsia="仿宋_GB2312"/>
          <w:sz w:val="32"/>
        </w:rPr>
        <w:t>（4）、负责供销合作社系统综合业务管理和机关综合事务管理。</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吉木萨尔县供销合作社联合社无下属预算单位。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2025年度收入总计161.82万元，</w:t>
      </w:r>
      <w:r>
        <w:rPr>
          <w:rFonts w:ascii="仿宋_GB2312" w:hAnsi="仿宋_GB2312" w:eastAsia="仿宋_GB2312"/>
          <w:b w:val="0"/>
          <w:sz w:val="32"/>
        </w:rPr>
        <w:t>其中：本年收入合计161.76万元，使用非财政拨款结余（含专用结余）0.00万元，年初结转和结余0.06万元。</w:t>
      </w:r>
    </w:p>
    <w:p>
      <w:pPr>
        <w:spacing w:line="580" w:lineRule="exact"/>
        <w:ind w:firstLine="640"/>
        <w:jc w:val="both"/>
      </w:pPr>
      <w:r>
        <w:rPr>
          <w:rFonts w:ascii="仿宋_GB2312" w:hAnsi="仿宋_GB2312" w:eastAsia="仿宋_GB2312"/>
          <w:b/>
          <w:sz w:val="32"/>
        </w:rPr>
        <w:t>2025年度支出总计161.82万元，</w:t>
      </w:r>
      <w:r>
        <w:rPr>
          <w:rFonts w:ascii="仿宋_GB2312" w:hAnsi="仿宋_GB2312" w:eastAsia="仿宋_GB2312"/>
          <w:b w:val="0"/>
          <w:sz w:val="32"/>
        </w:rPr>
        <w:t>其中：本年支出合计161.75万元，结余分配0.00万元，年末结转和结余0.07万元。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增加8.79万元，增长5.74%，主要原因是：本年在职人员工资调增，社保、公积金基数调增，人员经费增加。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本年收入161.76万元，</w:t>
      </w:r>
      <w:r>
        <w:rPr>
          <w:rFonts w:ascii="仿宋_GB2312" w:hAnsi="仿宋_GB2312" w:eastAsia="仿宋_GB2312"/>
          <w:b w:val="0"/>
          <w:sz w:val="32"/>
        </w:rPr>
        <w:t>其中：财政拨款收入161.75万元，占99.99%；上级补助收入0.00万元，占0.00%；事业收入0.00万元，占0.00%；经营收入0.00万元，占0.00%；附属单位上缴收入0.00万元，占0.00%；其他收入0.01万元，占0.006%。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本年支出161.75万元，</w:t>
      </w:r>
      <w:r>
        <w:rPr>
          <w:rFonts w:ascii="仿宋_GB2312" w:hAnsi="仿宋_GB2312" w:eastAsia="仿宋_GB2312"/>
          <w:b w:val="0"/>
          <w:sz w:val="32"/>
        </w:rPr>
        <w:t>其中：基本支出161.75万元，占100.00%；项目支出0.00万元，占0.00%；上缴上级支出0.00万元，占0.00%；经营支出0.00万元，占0.00%；对附属单位补助支出0.00万元，占0.00%。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2025年度财政拨款收入总计161.75万元，</w:t>
      </w:r>
      <w:r>
        <w:rPr>
          <w:rFonts w:ascii="仿宋_GB2312" w:hAnsi="仿宋_GB2312" w:eastAsia="仿宋_GB2312"/>
          <w:b w:val="0"/>
          <w:sz w:val="32"/>
        </w:rPr>
        <w:t>其中：年初财政拨款结转和结余0.00万元，本年财政拨款收入161.75万元。</w:t>
      </w:r>
      <w:r>
        <w:rPr>
          <w:rFonts w:ascii="仿宋_GB2312" w:hAnsi="仿宋_GB2312" w:eastAsia="仿宋_GB2312"/>
          <w:b/>
          <w:sz w:val="32"/>
        </w:rPr>
        <w:t>财政拨款支出总计161.75万元，</w:t>
      </w:r>
      <w:r>
        <w:rPr>
          <w:rFonts w:ascii="仿宋_GB2312" w:hAnsi="仿宋_GB2312" w:eastAsia="仿宋_GB2312"/>
          <w:b w:val="0"/>
          <w:sz w:val="32"/>
        </w:rPr>
        <w:t>其中：年末财政拨款结转和结余0.00万元，本年财政拨款支出161.75万元。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增加8.79万元，增长5.75%，主要原因是：本年在职人员工资调增，社保、公积金基数调增，人员经费增加。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年初预算数129.99万元，决算数161.75万元，预决算差异率24.43%，主要原因是：年中追加人员工资、社保、公积金基数调增部分资金，导致预决算存在差异。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履职、供销合作社系统综合业务管理和机关综合事务管理等重点支出，体现在有关支出科目中。</w:t>
      </w:r>
    </w:p>
    <w:p>
      <w:pPr>
        <w:spacing w:line="580" w:lineRule="exact"/>
        <w:ind w:firstLine="640"/>
        <w:jc w:val="both"/>
      </w:pPr>
      <w:r>
        <w:rPr>
          <w:rFonts w:ascii="仿宋_GB2312" w:hAnsi="仿宋_GB2312" w:eastAsia="仿宋_GB2312"/>
          <w:b w:val="0"/>
          <w:sz w:val="32"/>
        </w:rPr>
        <w:t>按照支出功能分类，商业服务业等支出（类）商业流通事务（款）事业运行（项）的支出占本年财政拨款支出总额的比重最高，2025年度决算数为102.81万元，占比63.56%，主要用于人员经费包括：基本工资、津贴补贴、奖金、绩效工资、机关事业单位基本养老保险缴费、职业年金缴费、职工基本医疗保险缴费、公务员医疗补助缴费、其他社会保障缴费、住房公积金、其他工资福利支出、退休费、其他对个人和家庭的补助。 公用经费包括：办公费、租赁费、专用材料费、工会经费、公务用车运行维护费、其他商品和服务支出。。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2025年度一般公共预算财政拨款支出161.75万元，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增加8.79万元，增长5.75%，主要原因是：本年在职人员工资调增，社保、公积金基数调增，人员经费增加。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年初预算数129.99万元，决算数161.75万元，预决算差异率24.43%，主要原因是：年中追加人员工资、社保、公积金基数调增部分资金，导致预决算存在差异。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1.一般公共服务支出（类）11.63万元，占7.19%。</w:t>
      </w:r>
    </w:p>
    <w:p>
      <w:pPr>
        <w:spacing w:line="580" w:lineRule="exact"/>
        <w:ind w:firstLine="640"/>
        <w:jc w:val="both"/>
      </w:pPr>
      <w:r>
        <w:rPr>
          <w:rFonts w:ascii="仿宋_GB2312" w:hAnsi="仿宋_GB2312" w:eastAsia="仿宋_GB2312"/>
          <w:b w:val="0"/>
          <w:sz w:val="32"/>
        </w:rPr>
        <w:t>2.社会保障和就业支出（类）29.31万元，占18.12%。</w:t>
      </w:r>
    </w:p>
    <w:p>
      <w:pPr>
        <w:spacing w:line="580" w:lineRule="exact"/>
        <w:ind w:firstLine="640"/>
        <w:jc w:val="both"/>
      </w:pPr>
      <w:r>
        <w:rPr>
          <w:rFonts w:ascii="仿宋_GB2312" w:hAnsi="仿宋_GB2312" w:eastAsia="仿宋_GB2312"/>
          <w:b w:val="0"/>
          <w:sz w:val="32"/>
        </w:rPr>
        <w:t>3.卫生健康支出（类）9.54万元，占5.90%。</w:t>
      </w:r>
    </w:p>
    <w:p>
      <w:pPr>
        <w:spacing w:line="580" w:lineRule="exact"/>
        <w:ind w:firstLine="640"/>
        <w:jc w:val="both"/>
      </w:pPr>
      <w:r>
        <w:rPr>
          <w:rFonts w:ascii="仿宋_GB2312" w:hAnsi="仿宋_GB2312" w:eastAsia="仿宋_GB2312"/>
          <w:b w:val="0"/>
          <w:sz w:val="32"/>
        </w:rPr>
        <w:t>4.商业服务业等支出（类）102.81万元，占63.56%。</w:t>
      </w:r>
    </w:p>
    <w:p>
      <w:pPr>
        <w:spacing w:line="580" w:lineRule="exact"/>
        <w:ind w:firstLine="640"/>
        <w:jc w:val="both"/>
      </w:pPr>
      <w:r>
        <w:rPr>
          <w:rFonts w:ascii="仿宋_GB2312" w:hAnsi="仿宋_GB2312" w:eastAsia="仿宋_GB2312"/>
          <w:b w:val="0"/>
          <w:sz w:val="32"/>
        </w:rPr>
        <w:t>5.住房保障支出（类）8.47万元，占5.24%。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11.63万元，比上年决算增加4.96万元，增长74.36%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2.一般公共服务支出（类）组织事务（款）其他组织事务支出（项）：支出决算数为0.00万元，比上年决算减少9.99万元，下降100.00%，主要原因是：本年本科目包联村庆阳湖乡大东沟村各项经费减少。</w:t>
      </w:r>
    </w:p>
    <w:p>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0.00万元，比上年决算减少6.17万元，下降100.00%，主要原因是：本年本科目减少购置办公电脑经费、吉木萨尔县供销合作社联合社农特产业产销体系构建策略研究课题经费。</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4.社会保障和就业支出（类）行政事业单位养老支出（款）事业单位离退休（项）：支出决算数为1.90万元，比上年决算增加0.44万元，增长30.14%，主要原因是：本年增加退休人员基础绩效奖，退休费支出增加。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16.15万元，比上年决算增加4.51万元，增长38.75%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11.27万元，比上年决算增加6.63万元，增长142.89%，主要原因是：本年在职人员工资基数调增，职业年金基数上涨，相应支出增加。以及补交以前年度职业年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7.卫生健康支出（类）行政事业单位医疗（款）事业单位医疗（项）：支出决算数为6.97万元，比上年决算增加1.09万元，增长18.54%，主要原因是：本年在职人员工资基数调增，医疗缴费基数上涨，相应支出增加。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2.57万元，比上年决算增加2.27万元，增长756.67%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9.商业服务业等支出（类）商业流通事务（款）事业运行（项）：支出决算数为102.81万元，比上年决算增加4.68万元，增长4.77%，主要原因是：本年在职人员工资调增，导致相关人员经费较上年有所增加。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10.住房保障支出（类）住房改革支出（款）住房公积金（项）：支出决算数为8.47万元，比上年决算增加0.39万元，增长4.83%，主要原因是：本年在职人员工资基数调增，公积金缴费基数上涨，相应支出增加。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2025年度一般公共预算财政拨款基本支出161.75万元，其中：</w:t>
      </w:r>
      <w:r>
        <w:rPr>
          <w:rFonts w:ascii="仿宋_GB2312" w:hAnsi="仿宋_GB2312" w:eastAsia="仿宋_GB2312"/>
          <w:b/>
          <w:sz w:val="32"/>
        </w:rPr>
        <w:t>人员经费142.51万元，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公用经费19.24万元，</w:t>
      </w:r>
      <w:r>
        <w:rPr>
          <w:rFonts w:ascii="仿宋_GB2312" w:hAnsi="仿宋_GB2312" w:eastAsia="仿宋_GB2312"/>
          <w:b w:val="0"/>
          <w:sz w:val="32"/>
        </w:rPr>
        <w:t>包括：办公费、租赁费、专用材料费、工会经费、公务用车运行维护费、其他商品和服务支出。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2025年度吉木萨尔县供销合作社联合社（事业单位）公用经费支出19.24万元，比上年减少6.79万元，下降26.09%，主要原因是：严控经费支出，厉行节约，减少经费支出。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2025年度政府采购支出总额4.99万元，其中：政府采购货物支出4.79万元、政府采购工程支出0.00万元、政府采购服务支出0.20万元。</w:t>
      </w:r>
    </w:p>
    <w:p>
      <w:pPr>
        <w:spacing w:line="580" w:lineRule="exact"/>
        <w:ind w:firstLine="640"/>
        <w:jc w:val="both"/>
      </w:pPr>
      <w:r>
        <w:rPr>
          <w:rFonts w:ascii="仿宋_GB2312" w:hAnsi="仿宋_GB2312" w:eastAsia="仿宋_GB2312"/>
          <w:b w:val="0"/>
          <w:sz w:val="32"/>
        </w:rPr>
        <w:t>授予中小企业合同金额4.99万元，占政府采购支出总额的100.00%，其中：授予小微企业合同金额4.99万元，占政府采购支出总额的100.00%。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2,294.43平方米，价值160.12万元。车辆1辆，价值17.00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161.82万元，实际执行总额161.75万元；预算绩效评价项目0个，全年预算数0.00万元，全年执行数0.00万元。预算绩效管理取得的成效：1.强化政策资源整合，夯实改革发展支撑。积极争取县委县政府支持，通过机制创新、资产盘活等举措，为供销社改革发展蓄势赋能。2.筑牢农资供应网络，彰显主渠道保障作用。以保障农资供应、降低农民成本为核心，健全服务体系、规范网点管理，全力筑牢农资供应。3.完善流通服务体系，畅通农产品产销链路。围绕“品牌塑造、渠道拓展、帮扶赋能”三大主线，构建现代化农产品流通体系，助力农产品“出村进城”。4.深化基层体系建设，提升社会化服务效能。紧扣为农服务核心宗旨，以基层社实体化运营为突破口，深化村社合作，激活基层服务活力。5.丰富服务载体供给，增强基层服务能力。严格落实“强县固基”要求，通过阵地建设、渠道拓展等举措，全方位提升基层服务供给水平。6.构建再生资源体系，培育绿色发展动能。以资源化利用为核心，通过股权重组、开放办社等举措，推动再生资源产业提质升级。7.健全监管长效机制，保障社有资产安全。坚持“管资产、管经营、管风险”并重，构健全方位、多层次的社有资产监管体系，杜绝资产流失。发现的问题及原因：存在问题：吉木萨尔县供销社实际支出与预算数存在一定的偏差。原因分析：一是我单位按照上级要求组织年初预算，在资金支出方面虽然做了比较详细的预算，但较多资金为上级专项资金，资金支付必须按工程进度列支，导致有些资金支出进度缓慢。二是预算执行存在偏差，由于预算安排不足，造成实际支出比预算偏高。下一步改进措施：我单位在严格资金支出进度要求的同时，充分考虑实际情况，增加灵活性包容性，实现绩效管理的规范化、常态化、过程化。运用预算管理、资产管理等实现对财务工作的动态管理。筹划全年工作和资金项目时，充分考虑到专项资金支出进度的平均性，尽可能避免发生专项资金进度不到位的情况。严格控制“三公”经费的规模和比例，把好审批、审核关，合理压缩“三公”经费支出。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吉木萨尔县供销合作社联合社</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129.99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161.82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161.75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299.98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299.98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全面贯彻落实党的二十届三中全会精神、党中央和区州党委关于深化供销合作社综合改革的决策部署，深入贯彻习近平总书记关于供销合作社工作和新疆工作的重要讲话重要指示批示精神，围绕“三农”工作大局，坚持为农服务宗旨，持续深化供销合作社综合改革，锚定高质量发展方向，持续推进供销综合改革。计划完成农业生产社会化服务任务57万亩次，打造普惠金融服务站点、再生资源回收网点、新建农村供销综合服务社、改造提升农村供销综合服务社、改造提升基层社各1家，年内销售农特产品100万元以上，社有企业完成农资销售400吨以上。</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161.82万元，全年实际支出资金161.75万元，预算执行率为99.96%。2025年我单位完成以下工作内容：按时发放人员工资、津贴、奖金，按时缴纳各类社保、医保、职业年金、住房公积金等，按时支付供销社各项办公经费，使供销社正常运转。1.强化政策资源整合，夯实改革发展支撑。积极争取县委县政府支持，通过机制创新、资产盘活等举措，为供销社改革发展蓄势赋能。
2.筑牢农资供应网络，彰显主渠道保障作用。以保障农资供应、降低农民成本为核心，健全服务体系、规范网点管理，全力筑牢农资供应。
3.完善流通服务体系，畅通农产品产销链路。围绕“品牌塑造、渠道拓展、帮扶赋能”三大主线，构建现代化农产品流通体系，助力农产品“出村进城”。实施品牌强农战略。以"吉木萨尔"县域公共品牌为核心，整合本土加工企业资源，打造自主供销品牌矩阵，推动产业增效与农民增收协同发展。
4.深化基层体系建设，提升社会化服务效能。紧扣为农服务核心宗旨，以基层社实体化运营为突破口，深化村社合作，激活基层服务活力。
5.丰富服务载体供给，增强基层服务能力。严格落实“强县固基”要求，通过阵地建设、渠道拓展等举措，全方位提升基层服务供给水平。
6.构建再生资源体系，培育绿色发展动能。以资源化利用为核心，通过股权重组、开放办社等举措，推动再生资源产业提质升级。
7.健全监管长效机制，保障社有资产安全。坚持“管资产、管经营、管风险”并重，构健全方位、多层次的社有资产监管体系，杜绝资产流失。</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新建农资经营网点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吉木萨尔县供销社县级考核指标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打造普惠金融服务站点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吉木萨尔县供销社县级考核指标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新建农村供销综合服务社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吉木萨尔县供销社县级考核指标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改造提升农村供销综合服务社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吉木萨尔县供销社县级考核指标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打造再生资源回收网点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吉木萨尔县供销社县级考核指标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改造提升基层供销社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吉木萨尔县供销社县级考核指标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年内销售农特产品</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吉木萨尔县供销社州级考核指标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=108.76万元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社有企业完成农资销售量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&lt;=400吨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吉木萨尔县供销社州级考核指标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=400吨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本单位无其他说明事项。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