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2025年城市管理“三位一体”委托运营项目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吉木萨尔县住建局本级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曹勇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现在存在城市精细化管理水平有待进一步提升，环卫保洁、园林绿化、物业服务等城市公共服务资源分散、专业化程度不足的现状。面对新时期城镇化进程加速与人民群众对高品质人居环境日益增长的需求，以往粗放式、多头管理的传统作业模式，已难以适应高质量发展的节奏。根据《新疆维吾尔自治区城市精细化管理“十四五”规划》关于“推进城市治理体系和治理能力现代化”的总体要求，率先探索并引入了“环卫保洁、园林绿化、物业服务”三位一体的市场化运营模式，为提高城市综合公共服务效能与民生保障水平，并推动管理从粗放式向精细、节能、科学化转型，特设立本项目，用于落实“三位一体”委托运营服务的相关经费拨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实施，一是有利于降低运行管理的成本，提高管理水平。通过委托城市化运营管理服务，将行业部门从具体事务中解脱出来，负责标准制定与考核监督，由劳动者转变为监管者。二是可进一步完善环卫园林管理机制，促进县城整体形象提升，市容市貌得以大幅改观。三是市场化后可有效增强城市管理业化运作，市场化将为城市公共服务带来先进的管理理念、方法（如“智慧环卫、智慧园林、智慧路灯”、智慧物业、物联网管理），提高管理效率，不断提升城市公共服务作业质量。能快速提升城市环境的档次，对增加第三产业的产值，对构</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域旅游体系及推动当地经济发展有重要作用。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（1）项目名称：2025年城市管理“三位一体”委托运营项目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（2）项目主要内容：实行城市管理园林绿化、环卫保洁、小区物业市场化运行物业服务城市管理服务“三位一体”。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实施主体：吉木萨尔县住房和城乡建设局。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实现环卫、园林购买服务，物业服务自负盈亏的“三位一体”城市综合服务市场化运营。2022年11月进驻环卫板块，将冬季清雪、公厕管理、清扫保洁、垃圾收集运输、垃圾填埋处理、环卫机械设备、环卫作业人员等进行移交。2023年1月进驻绿化养护、物业服务管理板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①制定三位一体一体化作业标准、服务规范、质量要求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②明确环卫保洁、园林绿化养护、小区及公共区域物业服务的考核细则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③组织季度考核验收，环卫室、园林室联合打分，根据考核结果核定服务费用，提出经费拨付意见。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单位内设机构：环卫室、园林室、物业办等。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本项目预算安排总额为5206.00万元，资金来源为本级部门预算，其中：财政资金5206.00万元，其他资金0.00万元，2025年实际收到预算资金5206.00万元，预算资金到位率为100%。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截至2025年12月31日，本项目实际支付资金5206.00万元，预算执行率100%。本项目资金主要用于支付2024年第四季及2025年第一、第二、第三季度服务费5206.00万元。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由泓欣环境集团有限公司提供“三位一体”服务，按时按量完成2025年全年道路保洁服务、环卫保洁服务，按照服务要求接管26个小区物业服务。计划支付2024年第四季度服务费1173万元，计划支付2025第一、第二、第三季度服务费4033万元。通过项目的实施，进一步提升吉木萨尔县公共服务效能及能源利用效率，建立精细、节能、科学的城市管理服务模式，提高民生保障水平，使得受益局面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“道路保洁服务完成率”指标，预期指标值为“等于100%”；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“环卫保洁服务完成率”指标，预期指标值为“等于100%”；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“接管物业小区数量”指标，预期指标值为“大于等于26个”；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“聘请运营服务单位”指标，预期指标值为“等于1家”；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“合同履约”指标，预期指标值为“等于100%”；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“环卫及道路保洁考核合格率”指标，预期指标值为“大于等于80%”；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“服务时长”指标，预期指标值为“等于1年”；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“支付2024年第四季度服务费”指标，预期指标值为“小于等于1173万元”；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“支付2025第一、第二、第三季度服务费”指标，预期指标值为“小于等于4033万元”；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“改善城区环境卫生和物业服务水平”指标，预期指标值为“有效改善”；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“居民满意度”指标，预期指标值为“大于等于95%”。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城市管理“三位一体”委托运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此次我单位根据《财政支出绩效评价管理暂行办法》（财预〔2020〕10号）文件要求实施评价工作，本次评价对象为2025年城市管理“三位一体”委托运营项目，评价核心为项目资金、项目产出、项目效益。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张继春（评价小组组长）：主要负责项目策划和监督，全面负责项目绩效评价报告的最终质量，对评价人员出具的最终报告质量进行复核，确保评估结果的客观性；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艾拜不拉（评价小组组员）：主要负责资料的收集，取证、数据统计分析；主要负责项目报告的制定，指标的研判，数据分析及报告撰写。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项目的实施，完成了聘请1家管理企业、成立3个项目部的产出目标，实现了环卫、园林购买服务，物业服务自负盈亏的“三位一体”城市综合服务市场化运营。但在实施过程中也存在一些不足：专业化程度有待进一步提高。管理人员缺乏科学有效的管理知识和养护意识，管护人员短缺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2025年道路保洁服务，园林绿化养护，按照服务要求接管26个小区。完成支付2024年第四季度服务费1173万元，2025年第一第二第三季度服务费4033万元。通过项目的实施，进一步提升吉木萨尔县公共服务效能及能源利用效率，建立精细、节能、科学的城市管理服务模式，提高民生保障水平，使得受益居民满意度达到了100%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项目立项符合吉木萨尔县第十三届县委第二十五次常委会会议、国民经济发展规划和相关政策；同时符合行业发展规划和政策要求；与部门职责范围相符，</w:t>
      </w:r>
      <w:r>
        <w:rPr>
          <w:rStyle w:val="Strong"/>
          <w:rFonts w:ascii="楷体" w:eastAsia="楷体" w:hAnsi="楷体" w:hint="eastAsia"/>
          <w:b w:val="0"/>
          <w:bCs w:val="0"/>
          <w:spacing w:val="-4"/>
          <w:sz w:val="32"/>
          <w:szCs w:val="32"/>
        </w:rPr>
        <w:t xml:space="preserve">属于部门</w:t>
      </w:r>
      <w:r>
        <w:rPr>
          <w:rStyle w:val="Strong"/>
          <w:rFonts w:ascii="楷体" w:eastAsia="楷体" w:hAnsi="楷体" w:hint="eastAsia"/>
          <w:b w:val="0"/>
          <w:bCs w:val="0"/>
          <w:spacing w:val="-4"/>
          <w:sz w:val="32"/>
          <w:szCs w:val="32"/>
        </w:rPr>
        <w:t xml:space="preserve">履职所需；属于公共财政支持范围，符合地方事权支出责任划分；经检查财政项目指标大平台，本项目不存在重复。综上所述，本指标满分为5.00分，根据评分标准得5分，本项目立项依据充分。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第十三届县委第二十五次常委会会议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计划完成了2025年道路保洁服务，园林绿化养护，按照服务要求接管26个小区。计划支付2024年第四季度服务费1173万元，2025年第一第二第三季度服务费4033万元。通过项目的实施，进一步提升吉木萨尔县公共服务效能及能源利用效率，建立精细、节能、科学的城市管理服务模式，提高民生保障水平，使得受益居民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计划完成了2025年道路保洁服务，园林绿化养护，按照服务要求接管26个小区。计划支付2024年第四季度服务费1173万元，2025年第一第二第三季度服务费4033万元。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2025年道路保洁服务，园林绿化养护，按照服务要求接管26个小区。支付2024年第四季度服务费1173万元，2025年第一第二第三季度服务费4033万元。，达到提升吉木萨尔县公共服务效能及能源利用效率，建立精细、节能、科学的城市管理服务模式，提高民生保障水平，使得受益居民满意度不低于95%”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④该项目批复的预算金额为5206万元，《项目支出绩效目标表》中预算金额为5206万元，预算确定的项目资金与预算确定的项目投资额相匹配。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82%，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道路保洁服务完成率”“环卫保洁服务完成率”“接管物业小区数量”“聘请运营服务单位”，三级指标的年度指标值与年度绩效目标中任务数一致，已设置时效指标“服务时长”。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2025年城市管理服务"三位一体"委托运营项项目实际内容为计划完成了2025年道路保洁服务，园林绿化养护，按照服务要求接管26个小区。计划支付2024年第四季度服务费1173万元，2025年第一第二第三季度服务费4033万元。通过项目的实施，进一步提升吉木萨尔县公共服务效能及能源利用效率，建立精细、节能、科学的城市管理服务模式，提高民生保障水平，使得受益居民满意度不低于95%”，预算申请与《城市管理服务"三位一体"委托运营项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5206万元，我单位在预算申请中严格按照项目实施内容及测算标准进行核算，其中：2024年第四季度服务费1173万元，2025年第一第二第三季度服务费4033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2025年城市管理服务"三位一体"委托运营项项目资金的请示》和《2025年城市管理服务"三位一体"委托运营项项目实施方案》为依据进行资金分配，预算资金分配依据充分。根据年初部门预算，本项目实际到位资金5206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5206万元，其中：财政安排资金5206万元，其他资金0万元，实际到位资金5206万元，资金到位率=（实际到位资金/预算资金）×100.00%=（5206/5206）×100.00%=100%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本项目实际支出资金5206万元，预算执行率=（实际支出资金/实际到位资金）×100.00%=（5206/5206）×100.00%=100%；项目已完成，总体完成率为100%；得分=（100%-60.00%）/（1-60.00%）×5.00=100%×5.00=5.00分。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住房和城乡建设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住房和城乡建设局资金管理办法》《吉木萨尔县政府采购业务管理制度》《房屋市政基础设施基本建设项目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住房和城乡建设局资金管理办法》《吉木萨尔县政府采购业务管理制度》《房屋市政基础设施基本建设项目管理制度》，等相关法律法规及管理规定，项目具备完整规范的立项程序；经查证项目实施过程资料，项目实施、验收等过程均按照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城市管理“三位一体”委托运营项目工作领导小组，由苏波任组长，负责项目的组织工作；组员包括：田永禄和王琴，主要负责项目的实施工作，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项目产出类指标由3个二级指标和7个三级指标构成，权重分30.00分，实际得分30分。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“道路保洁服务完成率”指标：预期指标值为“等于100%”，实际完成指标值为“等于100%”，指标完成率为100.00%。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“环卫保洁服务完成率”指标：预期指标值为“等于100%”，实际完成指标值为“等于100%”，指标完成率为100.0%。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“接管物业小区数量”指标：预期指标值为“大于等于26家”，实际完成指标值为“等于26家”，指标完成率为100.0%。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“聘请运营服务单位”指标：预期指标值为“等于1家”，实际完成指标值为“等于1家”，指标完成率为100.0%。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综上所述，本指标满分为1分，根据评分标准得1分。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“合同履约”指标：预期指标值为“等于100%”，实际完成指标值为“等于100%”，指标完成率为100.0%。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“环卫及道路保洁考核合格率”指标：预期指标值为“大于等于80%”，实际完成指标值为“等于80%”，指标完成率为100.0%。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“服务时长”指标：预期指标值为“等于1年”，实际完成指标值为“等于1年”，指标完成率为100.0%。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“支付2024年第四季度服务费”指标：预期指标值为“小于等于1173万元”，实际完成指标值为“等于1173万元”，指标完成率为100%。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“支付2025年第一、第二、第三季度服务费”指标：预期指标值为“小于等于4033万元”，实际完成指标值为“等于4033万元”，指标完成率为100%。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“改善城区环境卫生和物业服务水平”指标：预期指标值为“有效改善”，实际完成指标值为“达成年度指标”，指标完成率为100%。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“居民满意度”指标：预期指标值为“大于等于95%”，实际完成指标值为“等于95%”，指标完成率为100%。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财政按进度拨付专项资金，经分管领导、财务负责人审核后结算资金。实行专款专用，加强对资金使用情况的管理与检查，自觉接受审计部门的监督，杜绝挤占、截留、挪用现金的发生，提高资金使用效益。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设定与项目实际脱节，存在指标缺失、针对性不强、量化程度低等问题，过多设置定性指标，定量指标占比不足且可衡量性差；指标权重分配不合理，未突出核心绩效目标，对经济效益、社会效益、可持续影响等关键维度权重设置随意，无法客观反映项目真实成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在项目决策过程中，对于重大项目参照我单位</w:t>
      </w:r>
      <w:r>
        <w:rPr>
          <w:rStyle w:val="Strong"/>
          <w:rFonts w:ascii="楷体" w:eastAsia="楷体" w:hAnsi="楷体" w:hint="eastAsia"/>
          <w:b w:val="0"/>
          <w:bCs w:val="0"/>
          <w:spacing w:val="-4"/>
          <w:sz w:val="32"/>
          <w:szCs w:val="32"/>
        </w:rPr>
        <w:t xml:space="preserve">“三重一大”制度</w:t>
      </w:r>
      <w:r>
        <w:rPr>
          <w:rStyle w:val="Strong"/>
          <w:rFonts w:ascii="楷体" w:eastAsia="楷体" w:hAnsi="楷体" w:hint="eastAsia"/>
          <w:b w:val="0"/>
          <w:bCs w:val="0"/>
          <w:spacing w:val="-4"/>
          <w:sz w:val="32"/>
          <w:szCs w:val="32"/>
        </w:rPr>
        <w:t xml:space="preserve">，上会研究决定实施；实施有效的预算管控；严格按照资金用途使用，做好预算项目绩效评价工作。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fa9d4f38-ef87-47bf-a19d-9b4e037b5b7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