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吉木萨尔县人力资源和社会保障局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（1）贯彻实施国家人力资源和社会保障事业发展规划和政策法规，参与编制全县人力资源和社会保障事业发展规划和编制年度工作计划，并组织实施。</w:t>
      </w:r>
    </w:p>
    <w:p>
      <w:pPr>
        <w:spacing w:line="580" w:lineRule="exact"/>
        <w:ind w:firstLine="640"/>
        <w:jc w:val="both"/>
      </w:pPr>
      <w:r>
        <w:rPr>
          <w:rFonts w:ascii="仿宋_GB2312" w:hAnsi="仿宋_GB2312" w:eastAsia="仿宋_GB2312"/>
          <w:sz w:val="32"/>
        </w:rPr>
        <w:t>（2）拟订并组织实施全县人力资源市场发展规划和人力资源流动的政策和措施，建立统一规范的人力资源市场，促进人力资源合理流动和有效配置。</w:t>
      </w:r>
    </w:p>
    <w:p>
      <w:pPr>
        <w:spacing w:line="580" w:lineRule="exact"/>
        <w:ind w:firstLine="640"/>
        <w:jc w:val="both"/>
      </w:pPr>
      <w:r>
        <w:rPr>
          <w:rFonts w:ascii="仿宋_GB2312" w:hAnsi="仿宋_GB2312" w:eastAsia="仿宋_GB2312"/>
          <w:sz w:val="32"/>
        </w:rPr>
        <w:t>（3）负责促进就业工作，拟订统筹全县城乡的就业发展规划和政策，完善公共就业服务体系；拟订就业援助制度，完善职业资格制度，制定职工技能培训、失业人员再就业培训和社会力量举办的职业培训机构的规划及政策，统筹建立面向全县城乡劳动者的职业培训制度；负责对职业培训机构与职业介绍机构的管理；牵头拟订全县高校毕业生就业政策，会同有关部门拟订全县高技能人才、农村实用人才培养和激励政策。</w:t>
      </w:r>
    </w:p>
    <w:p>
      <w:pPr>
        <w:spacing w:line="580" w:lineRule="exact"/>
        <w:ind w:firstLine="640"/>
        <w:jc w:val="both"/>
      </w:pPr>
      <w:r>
        <w:rPr>
          <w:rFonts w:ascii="仿宋_GB2312" w:hAnsi="仿宋_GB2312" w:eastAsia="仿宋_GB2312"/>
          <w:sz w:val="32"/>
        </w:rPr>
        <w:t>（4）负责全县就业、失业及社会保险基金预测预警和信息引导，拟订应对预案，实施预防、调节和控制。</w:t>
      </w:r>
    </w:p>
    <w:p>
      <w:pPr>
        <w:spacing w:line="580" w:lineRule="exact"/>
        <w:ind w:firstLine="640"/>
        <w:jc w:val="both"/>
      </w:pPr>
      <w:r>
        <w:rPr>
          <w:rFonts w:ascii="仿宋_GB2312" w:hAnsi="仿宋_GB2312" w:eastAsia="仿宋_GB2312"/>
          <w:sz w:val="32"/>
        </w:rPr>
        <w:t>（5）贯彻实施国家、省关于机关、事业单位人员工资收入分配政策，建立机关企事业职工工资正常增长和支付保障机制。根据国家、省关于机关企事业单位人员福利和离退休政策研究制定本县配套政策并组织实施。</w:t>
      </w:r>
    </w:p>
    <w:p>
      <w:pPr>
        <w:spacing w:line="580" w:lineRule="exact"/>
        <w:ind w:firstLine="640"/>
        <w:jc w:val="both"/>
      </w:pPr>
      <w:r>
        <w:rPr>
          <w:rFonts w:ascii="仿宋_GB2312" w:hAnsi="仿宋_GB2312" w:eastAsia="仿宋_GB2312"/>
          <w:sz w:val="32"/>
        </w:rPr>
        <w:t>（6）参与人才管理工作，组织实施重点人才工程和项目计划，负责专业技术人员管理和继续教育工作，牵头推进深化职称制度改革工作。负责高层次专业技术人才选拔、申报和管理服务工作。负责博士后工作站的申报和管理服务工作。参与拟订吸引国（境）外专家、留学人员来本县工作的相关政策。综合管理全县引进国外智力工作，研究制定引进国外智力工作规划和政策措施并组织实施。</w:t>
      </w:r>
    </w:p>
    <w:p>
      <w:pPr>
        <w:spacing w:line="580" w:lineRule="exact"/>
        <w:ind w:firstLine="640"/>
        <w:jc w:val="both"/>
      </w:pPr>
      <w:r>
        <w:rPr>
          <w:rFonts w:ascii="仿宋_GB2312" w:hAnsi="仿宋_GB2312" w:eastAsia="仿宋_GB2312"/>
          <w:sz w:val="32"/>
        </w:rPr>
        <w:t>（7）贯彻实施国家、省关于农民工的有关政策，拟订全县农民工作综合性政策和规划，推动农民工相关政策的落实，协调解决重点难点问题，维护农民工合法权益。</w:t>
      </w:r>
    </w:p>
    <w:p>
      <w:pPr>
        <w:spacing w:line="580" w:lineRule="exact"/>
        <w:ind w:firstLine="640"/>
        <w:jc w:val="both"/>
      </w:pPr>
      <w:r>
        <w:rPr>
          <w:rFonts w:ascii="仿宋_GB2312" w:hAnsi="仿宋_GB2312" w:eastAsia="仿宋_GB2312"/>
          <w:sz w:val="32"/>
        </w:rPr>
        <w:t>（8）拟订全县劳动人事争议调解仲裁办法和劳动关系政策，完善劳动关系协调机制，组织实施消除非法使用童工政策和女工、未成年工的特殊劳动保护政策并监督检查，组织实施劳动监察，协调劳动者维权工作，依法查处重大案件。</w:t>
      </w:r>
    </w:p>
    <w:p>
      <w:pPr>
        <w:spacing w:line="580" w:lineRule="exact"/>
        <w:ind w:firstLine="640"/>
        <w:jc w:val="both"/>
      </w:pPr>
      <w:r>
        <w:rPr>
          <w:rFonts w:ascii="仿宋_GB2312" w:hAnsi="仿宋_GB2312" w:eastAsia="仿宋_GB2312"/>
          <w:sz w:val="32"/>
        </w:rPr>
        <w:t>（9）承担全县人力资源和社会保障统计和信息工作，负责人力资源和社会保障信息网络系统规划建设，定期申报、发布统计公报、信息资料及发展预测报告。</w:t>
      </w:r>
    </w:p>
    <w:p>
      <w:pPr>
        <w:spacing w:line="580" w:lineRule="exact"/>
        <w:ind w:firstLine="640"/>
        <w:jc w:val="both"/>
      </w:pPr>
      <w:r>
        <w:rPr>
          <w:rFonts w:ascii="仿宋_GB2312" w:hAnsi="仿宋_GB2312" w:eastAsia="仿宋_GB2312"/>
          <w:sz w:val="32"/>
        </w:rPr>
        <w:t>（10）承办县政府交办的其他事项。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吉木萨尔县人力资源和社会保障局无下属预算单位。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2025年度收入总计2,233.17万元，</w:t>
      </w:r>
      <w:r>
        <w:rPr>
          <w:rFonts w:ascii="仿宋_GB2312" w:hAnsi="仿宋_GB2312" w:eastAsia="仿宋_GB2312"/>
          <w:b w:val="0"/>
          <w:sz w:val="32"/>
        </w:rPr>
        <w:t>其中：本年收入合计2,225.64万元，使用非财政拨款结余（含专用结余）0.00万元，年初结转和结余7.53万元。</w:t>
      </w:r>
    </w:p>
    <w:p>
      <w:pPr>
        <w:spacing w:line="580" w:lineRule="exact"/>
        <w:ind w:firstLine="640"/>
        <w:jc w:val="both"/>
      </w:pPr>
      <w:r>
        <w:rPr>
          <w:rFonts w:ascii="仿宋_GB2312" w:hAnsi="仿宋_GB2312" w:eastAsia="仿宋_GB2312"/>
          <w:b/>
          <w:sz w:val="32"/>
        </w:rPr>
        <w:t>2025年度支出总计2,233.17万元，</w:t>
      </w:r>
      <w:r>
        <w:rPr>
          <w:rFonts w:ascii="仿宋_GB2312" w:hAnsi="仿宋_GB2312" w:eastAsia="仿宋_GB2312"/>
          <w:b w:val="0"/>
          <w:sz w:val="32"/>
        </w:rPr>
        <w:t>其中：本年支出合计2,225.65万元，结余分配0.00万元，年末结转和结余7.52万元。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减少151.59万元，下降6.36%，主要原因是：2025年度就业补助类资金支出减少。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本年收入2,225.64万元，</w:t>
      </w:r>
      <w:r>
        <w:rPr>
          <w:rFonts w:ascii="仿宋_GB2312" w:hAnsi="仿宋_GB2312" w:eastAsia="仿宋_GB2312"/>
          <w:b w:val="0"/>
          <w:sz w:val="32"/>
        </w:rPr>
        <w:t>其中：财政拨款收入2,195.57万元，占98.65%；上级补助收入0.00万元，占0.00%；事业收入0.00万元，占0.00%；经营收入0.00万元，占0.00%；附属单位上缴收入0.00万元，占0.00%；其他收入30.07万元，占1.35%。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本年支出2,225.65万元，</w:t>
      </w:r>
      <w:r>
        <w:rPr>
          <w:rFonts w:ascii="仿宋_GB2312" w:hAnsi="仿宋_GB2312" w:eastAsia="仿宋_GB2312"/>
          <w:b w:val="0"/>
          <w:sz w:val="32"/>
        </w:rPr>
        <w:t>其中：基本支出725.77万元，占32.61%；项目支出1,499.89万元，占67.39%；上缴上级支出0.00万元，占0.00%；经营支出0.00万元，占0.00%；对附属单位补助支出0.00万元，占0.00%。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2025年度财政拨款收入总计2,195.57万元，</w:t>
      </w:r>
      <w:r>
        <w:rPr>
          <w:rFonts w:ascii="仿宋_GB2312" w:hAnsi="仿宋_GB2312" w:eastAsia="仿宋_GB2312"/>
          <w:b w:val="0"/>
          <w:sz w:val="32"/>
        </w:rPr>
        <w:t>其中：年初财政拨款结转和结余0.00万元，本年财政拨款收入2,195.57万元。</w:t>
      </w:r>
      <w:r>
        <w:rPr>
          <w:rFonts w:ascii="仿宋_GB2312" w:hAnsi="仿宋_GB2312" w:eastAsia="仿宋_GB2312"/>
          <w:b/>
          <w:sz w:val="32"/>
        </w:rPr>
        <w:t>财政拨款支出总计2,195.57万元，</w:t>
      </w:r>
      <w:r>
        <w:rPr>
          <w:rFonts w:ascii="仿宋_GB2312" w:hAnsi="仿宋_GB2312" w:eastAsia="仿宋_GB2312"/>
          <w:b w:val="0"/>
          <w:sz w:val="32"/>
        </w:rPr>
        <w:t>其中：年末财政拨款结转和结余0.00万元，本年财政拨款支出2,195.57万元。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减少176.22万元，下降7.43%，主要原因是：2025年就业补助类资金支出减少。</w:t>
      </w:r>
      <w:r>
        <w:rPr>
          <w:rFonts w:ascii="仿宋_GB2312" w:hAnsi="仿宋_GB2312" w:eastAsia="仿宋_GB2312"/>
          <w:b/>
          <w:sz w:val="32"/>
        </w:rPr>
        <w:t>与年初预算相比，</w:t>
      </w:r>
      <w:r>
        <w:rPr>
          <w:rFonts w:ascii="仿宋_GB2312" w:hAnsi="仿宋_GB2312" w:eastAsia="仿宋_GB2312"/>
          <w:b w:val="0"/>
          <w:sz w:val="32"/>
        </w:rPr>
        <w:t>年初预算数1,921.27万元，决算数2,195.57万元，预决算差异率14.28%，主要原因是：年中追加上级专项就业补助资金。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民生保障、公共服务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就业补助（款）其他就业补助支出（项）的支出占本年财政拨款支出总额的比重最高，2025年度决算数为1,397.88万元，占比63.67%，主要用于发放灵活就业、自主创业、企业吸纳劳动者社保补贴，公益性岗位及社保补贴和职业培训补贴。</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2025年度一般公共预算财政拨款支出2,195.57万元，</w:t>
      </w:r>
      <w:r>
        <w:rPr>
          <w:rFonts w:ascii="仿宋_GB2312" w:hAnsi="仿宋_GB2312" w:eastAsia="仿宋_GB2312"/>
          <w:b w:val="0"/>
          <w:sz w:val="32"/>
        </w:rPr>
        <w:t>占本年支出合计的98.65%。</w:t>
      </w:r>
      <w:r>
        <w:rPr>
          <w:rFonts w:ascii="仿宋_GB2312" w:hAnsi="仿宋_GB2312" w:eastAsia="仿宋_GB2312"/>
          <w:b/>
          <w:sz w:val="32"/>
        </w:rPr>
        <w:t>与上年相比，</w:t>
      </w:r>
      <w:r>
        <w:rPr>
          <w:rFonts w:ascii="仿宋_GB2312" w:hAnsi="仿宋_GB2312" w:eastAsia="仿宋_GB2312"/>
          <w:b w:val="0"/>
          <w:sz w:val="32"/>
        </w:rPr>
        <w:t>减少176.22万元，下降7.43%，主要原因是：本年就业专项补助资金较上年支出减少。</w:t>
      </w:r>
      <w:r>
        <w:rPr>
          <w:rFonts w:ascii="仿宋_GB2312" w:hAnsi="仿宋_GB2312" w:eastAsia="仿宋_GB2312"/>
          <w:b/>
          <w:sz w:val="32"/>
        </w:rPr>
        <w:t>与年初预算相比，</w:t>
      </w:r>
      <w:r>
        <w:rPr>
          <w:rFonts w:ascii="仿宋_GB2312" w:hAnsi="仿宋_GB2312" w:eastAsia="仿宋_GB2312"/>
          <w:b w:val="0"/>
          <w:sz w:val="32"/>
        </w:rPr>
        <w:t>年初预算数1,921.27万元，决算数2,195.57万元，预决算差异率14.28%，主要原因是：年中追加上级专项就业补助资金。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1.文化旅游体育与传媒支出（类）20.00万元，占0.91%。</w:t>
      </w:r>
    </w:p>
    <w:p>
      <w:pPr>
        <w:spacing w:line="580" w:lineRule="exact"/>
        <w:ind w:firstLine="640"/>
        <w:jc w:val="both"/>
      </w:pPr>
      <w:r>
        <w:rPr>
          <w:rFonts w:ascii="仿宋_GB2312" w:hAnsi="仿宋_GB2312" w:eastAsia="仿宋_GB2312"/>
          <w:b w:val="0"/>
          <w:sz w:val="32"/>
        </w:rPr>
        <w:t>2.社会保障和就业支出（类）2,094.75万元，占95.41%。</w:t>
      </w:r>
    </w:p>
    <w:p>
      <w:pPr>
        <w:spacing w:line="580" w:lineRule="exact"/>
        <w:ind w:firstLine="640"/>
        <w:jc w:val="both"/>
      </w:pPr>
      <w:r>
        <w:rPr>
          <w:rFonts w:ascii="仿宋_GB2312" w:hAnsi="仿宋_GB2312" w:eastAsia="仿宋_GB2312"/>
          <w:b w:val="0"/>
          <w:sz w:val="32"/>
        </w:rPr>
        <w:t>3.卫生健康支出（类）39.17万元，占1.78%。</w:t>
      </w:r>
    </w:p>
    <w:p>
      <w:pPr>
        <w:spacing w:line="580" w:lineRule="exact"/>
        <w:ind w:firstLine="640"/>
        <w:jc w:val="both"/>
      </w:pPr>
      <w:r>
        <w:rPr>
          <w:rFonts w:ascii="仿宋_GB2312" w:hAnsi="仿宋_GB2312" w:eastAsia="仿宋_GB2312"/>
          <w:b w:val="0"/>
          <w:sz w:val="32"/>
        </w:rPr>
        <w:t>4.农林水支出（类）3.29万元，占0.15%。</w:t>
      </w:r>
    </w:p>
    <w:p>
      <w:pPr>
        <w:spacing w:line="580" w:lineRule="exact"/>
        <w:ind w:firstLine="640"/>
        <w:jc w:val="both"/>
      </w:pPr>
      <w:r>
        <w:rPr>
          <w:rFonts w:ascii="仿宋_GB2312" w:hAnsi="仿宋_GB2312" w:eastAsia="仿宋_GB2312"/>
          <w:b w:val="0"/>
          <w:sz w:val="32"/>
        </w:rPr>
        <w:t>5.住房保障支出（类）38.36万元，占1.75%。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1.科学技术支出（类）科技条件与服务（款）其他科技条件与服务支出（项）：支出决算数为0.00万元，比上年决算减少10.76万元，下降100.00%，主要原因是：本年比上年减少电脑及打印机购买支出。</w:t>
      </w:r>
    </w:p>
    <w:p>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2.文化旅游体育与传媒支出（类）文化和旅游（款）其他文化和旅游支出（项）：支出决算数为20.00万元，比上年决算增加20.00万元，增长100.00%，主要原因是：本年新增文化旅游体育与传媒支出方面的支出。</w:t>
      </w:r>
    </w:p>
    <w:p>
      <w:pPr>
        <w:spacing w:line="580" w:lineRule="exact"/>
        <w:ind w:firstLine="640"/>
        <w:jc w:val="both"/>
      </w:pPr>
      <w:r>
        <w:rPr>
          <w:rFonts w:ascii="仿宋_GB2312" w:hAnsi="仿宋_GB2312" w:eastAsia="仿宋_GB2312"/>
          <w:b w:val="0"/>
          <w:sz w:val="32"/>
        </w:rPr>
        <w:t>3.社会保障和就业支出（类）人力资源和社会保障管理事务（款）行政运行（项）：支出决算数为342.22万元，比上年决算减少4.41万元，下降1.27%，主要原因是：本年在职人员减少，相应人员经费较上年减少。</w:t>
      </w:r>
    </w:p>
    <w:p>
      <w:pPr>
        <w:spacing w:line="580" w:lineRule="exact"/>
        <w:ind w:firstLine="640"/>
        <w:jc w:val="both"/>
      </w:pPr>
      <w:r>
        <w:rPr>
          <w:rFonts w:ascii="仿宋_GB2312" w:hAnsi="仿宋_GB2312" w:eastAsia="仿宋_GB2312"/>
          <w:b w:val="0"/>
          <w:sz w:val="32"/>
        </w:rPr>
        <w:t>4.社会保障和就业支出（类）人力资源和社会保障管理事务（款）事业运行（项）：支出决算数为195.68万元，比上年决算增加25.71万元，增长15.13%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48.13万元，比上年决算减少49.82万元，下降50.86%，主要原因是：本年三支一扶大学生在岗人数比上年减少，因此生活补助发放金额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6.社会保障和就业支出（类）行政事业单位养老支出（款）行政单位离退休（项）：支出决算数为17.11万元，比上年决算增加3.45万元，增长25.26%，主要原因是：本年增加退休人员相关支出。</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46.14万元，比上年决算增加2.95万元，增长6.83%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47.05万元，比上年决算增加19.34万元，增长69.79%，主要原因是：本年在职人员工资基数调增，职业年金相应支出增加。</w:t>
      </w:r>
    </w:p>
    <w:p>
      <w:pPr>
        <w:spacing w:line="580" w:lineRule="exact"/>
        <w:ind w:firstLine="640"/>
        <w:jc w:val="both"/>
      </w:pPr>
      <w:r>
        <w:rPr>
          <w:rFonts w:ascii="仿宋_GB2312" w:hAnsi="仿宋_GB2312" w:eastAsia="仿宋_GB2312"/>
          <w:b w:val="0"/>
          <w:sz w:val="32"/>
        </w:rPr>
        <w:t>9.社会保障和就业支出（类）就业补助（款）社会保险补贴（项）：支出决算数为0.53万元，比上年决算增加0.53万元，增长100.00%，主要原因是：本年新增稳岗就业社保补贴专项资金。</w:t>
      </w:r>
    </w:p>
    <w:p>
      <w:pPr>
        <w:spacing w:line="580" w:lineRule="exact"/>
        <w:ind w:firstLine="640"/>
        <w:jc w:val="both"/>
      </w:pPr>
      <w:r>
        <w:rPr>
          <w:rFonts w:ascii="仿宋_GB2312" w:hAnsi="仿宋_GB2312" w:eastAsia="仿宋_GB2312"/>
          <w:b w:val="0"/>
          <w:sz w:val="32"/>
        </w:rPr>
        <w:t>10.社会保障和就业支出（类）就业补助（款）其他就业补助支出（项）：支出决算数为1,397.88万元，比上年决算减少182.27万元，下降11.53%，主要原因是：本年减少就业补助补贴资金支出。</w:t>
      </w:r>
    </w:p>
    <w:p>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11.社会保障和就业支出（类）抚恤（款）死亡抚恤（项）：支出决算数为0.00万元，比上年决算减少22.29万元，下降100.00%，主要原因是：本年无死亡人员，死亡抚恤支出减少。</w:t>
      </w:r>
    </w:p>
    <w:p>
      <w:pPr>
        <w:spacing w:line="580" w:lineRule="exact"/>
        <w:ind w:firstLine="640"/>
        <w:jc w:val="both"/>
      </w:pPr>
      <w:r>
        <w:rPr>
          <w:rFonts w:ascii="仿宋_GB2312" w:hAnsi="仿宋_GB2312" w:eastAsia="仿宋_GB2312"/>
          <w:b w:val="0"/>
          <w:sz w:val="32"/>
        </w:rPr>
        <w:t>12.卫生健康支出（类）行政事业单位医疗（款）行政单位医疗（项）：支出决算数为12.56万元，比上年决算增加0.12万元，增长0.96%，主要原因是：本年在职人员工资基数调增，医疗缴费基数上涨，相应支出增加。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13.卫生健康支出（类）行政事业单位医疗（款）事业单位医疗（项）：支出决算数为14.77万元，比上年决算增加4.63万元，增长45.66%，主要原因是：本年在职人员工资基数调增，医疗缴费基数上涨，相应支出增加。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14.卫生健康支出（类）行政事业单位医疗（款）公务员医疗补助（项）：支出决算数为11.84万元，比上年决算增加10.42万元，增长733.80%，主要原因是：本年公务员在职人员增加，公务员医疗补助较上年增加。</w:t>
      </w:r>
    </w:p>
    <w:p>
      <w:pPr>
        <w:spacing w:line="580" w:lineRule="exact"/>
        <w:ind w:firstLine="640"/>
        <w:jc w:val="both"/>
      </w:pPr>
      <w:r>
        <w:rPr>
          <w:rFonts w:ascii="仿宋_GB2312" w:hAnsi="仿宋_GB2312" w:eastAsia="仿宋_GB2312"/>
          <w:b w:val="0"/>
          <w:sz w:val="32"/>
        </w:rPr>
        <w:t>15.农林水支出（类）普惠金融发展支出（款）创业担保贷款贴息及奖补（项）：支出决算数为3.29万元，比上年决算增加2.99万元，增长996.67%，主要原因是：本年创业担保贷款贴息资金项目支出全部在该科目下列支，因此金额增加。</w:t>
      </w:r>
    </w:p>
    <w:p>
      <w:pPr>
        <w:spacing w:line="580" w:lineRule="exact"/>
        <w:ind w:firstLine="640"/>
        <w:jc w:val="both"/>
      </w:pPr>
      <w:r>
        <w:rPr>
          <w:rFonts w:ascii="仿宋_GB2312" w:hAnsi="仿宋_GB2312" w:eastAsia="仿宋_GB2312"/>
          <w:b w:val="0"/>
          <w:sz w:val="32"/>
        </w:rPr>
        <w:t>16.农林水支出（类）普惠金融发展支出（款）其他普惠金融发展支出（项）：支出决算数为0.00万元，比上年决算减少0.39万元，下降100.00%，主要原因是：本年创业担保贷款贴息资金项目支出全部创业担保贷款贴息及奖补科目下列支，该科目减少支出。</w:t>
      </w:r>
    </w:p>
    <w:p>
      <w:pPr>
        <w:spacing w:line="580" w:lineRule="exact"/>
        <w:ind w:firstLine="640"/>
        <w:jc w:val="both"/>
      </w:pPr>
      <w:r>
        <w:rPr>
          <w:rFonts w:ascii="仿宋_GB2312" w:hAnsi="仿宋_GB2312" w:eastAsia="仿宋_GB2312"/>
          <w:b w:val="0"/>
          <w:sz w:val="32"/>
        </w:rPr>
        <w:t>17.住房保障支出（类）住房改革支出（款）住房公积金（项）：支出决算数为38.36万元，比上年决算增加3.55万元，增长10.20%，主要原因是：本年在职人员工资基数调增，公积金缴费基数上涨，相应支出增加。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2025年度一般公共预算财政拨款基本支出725.73万元，其中：</w:t>
      </w:r>
      <w:r>
        <w:rPr>
          <w:rFonts w:ascii="仿宋_GB2312" w:hAnsi="仿宋_GB2312" w:eastAsia="仿宋_GB2312"/>
          <w:b/>
          <w:sz w:val="32"/>
        </w:rPr>
        <w:t>人员经费656.76万元，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公用经费68.97万元，</w:t>
      </w:r>
      <w:r>
        <w:rPr>
          <w:rFonts w:ascii="仿宋_GB2312" w:hAnsi="仿宋_GB2312" w:eastAsia="仿宋_GB2312"/>
          <w:b w:val="0"/>
          <w:sz w:val="32"/>
        </w:rPr>
        <w:t>包括：办公费、水费、电费、邮电费、取暖费、差旅费、维修（护）费、劳务费、委托业务费、工会经费、公务用车运行维护费、其他交通费用、其他商品和服务支出。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2025年度财政拨款“三公”经费支出4.00万元，</w:t>
      </w:r>
      <w:r>
        <w:rPr>
          <w:rFonts w:ascii="仿宋_GB2312" w:hAnsi="仿宋_GB2312" w:eastAsia="仿宋_GB2312"/>
          <w:b w:val="0"/>
          <w:sz w:val="32"/>
        </w:rPr>
        <w:t>比上年增加2.00万元，增长100.00%，主要原因是：本年因业务需求，用车次数增加，燃油费增加，导致公务用车运行维护费较上年增加。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公务用车购置及运行维护费支出4.00万元，占100.00%，比上年增加2.00万元，增长100.00%，主要原因是：本年因业务需求，用车次数增加，燃油费增加，导致公务用车运行维护费较上年增加。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3辆。国有资产占用情况中固定资产车辆3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人力资源和社会保障局（行政单位和参照公务员法管理事业单位）机关运行经费支出68.97万元，比上年减少24.50万元，下降26.21%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2025年度政府采购支出总额3.32万元，其中：政府采购货物支出0.15万元、政府采购工程支出0.00万元、政府采购服务支出3.17万元。</w:t>
      </w:r>
    </w:p>
    <w:p>
      <w:pPr>
        <w:spacing w:line="580" w:lineRule="exact"/>
        <w:ind w:firstLine="640"/>
        <w:jc w:val="both"/>
      </w:pPr>
      <w:r>
        <w:rPr>
          <w:rFonts w:ascii="仿宋_GB2312" w:hAnsi="仿宋_GB2312" w:eastAsia="仿宋_GB2312"/>
          <w:b w:val="0"/>
          <w:sz w:val="32"/>
        </w:rPr>
        <w:t>授予中小企业合同金额3.17万元，占政府采购支出总额的95.48%，其中：授予小微企业合同金额3.17万元，占政府采购支出总额的95.48%。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1,499.39平方米，价值226.23万元。车辆3辆，价值40.91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2,233.17万元，实际执行总额2,225.65万元；预算绩效评价项目5个，全年预算数1,710.80万元，全年执行数1,652.26万元。预算绩效管理取得的成效：一是严格落实绩效目标与预算同步编制申报，强化事前绩效审核，提升预算编制精准度。二是常态化开展绩效运行监控，动态跟踪项目资金使用，保障人社项目资金发挥实效。发现的问题及原因：一是部分项目预算执行进度不均衡，存在阶段性支出偏慢情况，受业务实施客观条件制约。二是绩效指标精细化水平不足，部分指标量化程度不够，前期业务研判不够细致。下一步改进措施：一是强化预算执行跟踪督办，统筹项目实施节奏，促进资金均衡有序支出。二是科学细化绩效指标，做实全过程绩效监控，强化绩效结果运用。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吉木萨尔县人力资源和社会保障局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958.93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1,295.88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1,295.88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962.35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907.22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899.70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3,946.24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4,466.34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4,451.30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3,946.24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4,466.34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4,451.30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根据《吉木萨尔县政府工作报告》的要求：坚持保障和改善民生，不断提升人民生活品质，稳定扩大就业创业。
目标1：围绕经济高质量发展，扎实做好就业服务。突出重点群体就业、优化就业服务，确保全县就业形势总体稳定。完成城镇新增就业2650人，城镇登记失业率控制在3.5%以内；完成人力资源机构企业引才510人。坚持市场化社会化就业与政府帮扶相结合，创造更多与劳动力相适应的就地就业增收机会，围绕我县乡村产业发展布局、以工代赈项目、各类基础设施建设等用工需求，多渠道挖掘就地就近就业岗位，带动本地农村劳动力转移就业1.54万人次。
目标2：健全社会保障体系，扩大社会保险覆盖面。推进全民参保，全年完成新增1000人参保任务，不断巩固全民参保计划工作成果，确保完成全县基本养老保险参保率达到从业人员的95%的工作目标。
目标3：落实好农民工安“薪”无忧工程，构建和谐劳动关系。欠薪线索核处平台预警、上级转督办欠薪线索处置及时率100%，劳动人事争议案件结案率达93%以上，调解成功率60%以上；劳动保障监察案件结案率96%以上，拖欠农民工工资案件结案率98%以上。欠薪线索核处平台预警、上级转督办欠薪线索处置及时率100%，劳动人事争议案件结案率达93%以上，调解成功率60%以上；劳动保障监察案件结案率96%以上，拖欠农民工工资案件结案率98%以上；欠薪线索核处平台预警、上级转督办欠薪线索处置及时率100%，劳动人事争议案件结案率达93%以上，调解成功率60%以上；劳动保障监察案件结案率96%以上，拖欠农民工工资案件结案率98%以上；
目标4：开展技能培训，提升职业水平。积极推广“1+1+X”的融合培训模式 (人社部门技能资格证、等级证+行业部门操作证+各类上岗证)，达到“一次培训、多证并发、出门就业”的便捷模式。计划开展各类职业技能培训1200人次。</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2233.17万元，全年实际支出资金2225.65万元，预算执行率为99.66%。（一）多措并举，加大稳就业促就业落实力度。城镇新增就业任务2650人，完成2659人，完成全年任务100.3%；农村劳动力外出转移务工任务15400人，完成15510人次，完成全年任务100.7%；支持开展准东公共就业服务活动10场（138 家次企业参与、506 人次达成意向）；2025年，开展各类培训3504人次，新增技能等级人才795人。（二）稳妥推进，健全社会保障体系建设。基本养老保险参保12.31万人，完成率102.32%；工伤保险参保6.83万人，完成率121.90%；失业保险达3.95万人，完成率92.11%。（三）立足发展，做好人事人才工作。完成20人公开招聘聘用和5人引进研究生试岗工作；完成2025年下半年事业单位公开招聘和“千硕进昌”引才计划申报工作，公开招聘申报19个单位43人，“千硕进昌”引才申报9个单位11人。（四）源头治理，推进和谐稳定劳动关系。受理劳资纠纷及劳动保障类案件39件，其中：拖欠农民工工资案件11件，涉及欠薪人数1652人、涉及金额1810.3725万元，已全部办结，结案率100%。累计核处欠薪线索862条（其中：国家根治欠薪平台推送530条、自治区欠薪平台推送325条、互联网+督查等转督办线索7条），涉及欠薪人数419人、欠薪金额462.9508万元，欠薪线索处置及时率100%。受理劳动仲裁受理案件206件（五彩湾案件124件），结案205件（五彩湾案件123件）。</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为企业招聘引才人数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&gt;=510人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11.91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稳定基本养老保险参保率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劳动保障监察案件结案率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拖欠农民工工资案件结案率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劳动人事争议案结案率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=99.51%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开展各类职业技能培训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城镇新增就业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&gt;=2650人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=2659人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带动本地农村劳动力转移就业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&gt;=1.54万人次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=1.55万人次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城镇失业率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吉木萨尔县人社局2025年重点工作计划及推进情况报告及吉木萨尔县人社局2024年工作总结及2025年工作计划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86.64</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2024年高校毕业生“三支一扶”计划中央财政补助资金项目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为高校毕业生向基层单位落实就业问题，提供具体的指导和保障，支付在岗人员生活费补助2500元/月，新招募且工作满6个月一次性安家费3000元/人和能力提升专项计划培训等支出，通过项目实施，提升就业人员收入，争取使享受补助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78.18万元，资金执行率57.57%，本项目完成了高校毕业生向基层单位落实就业问题提供具体的指导和保障，支付在岗人员生活费补助和新招募且工作满6个月一次性安家费781814元，通过项目实施，提升了就业人员收入，使得享受补助人员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享受生活补助人数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一次性安家补助标准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提升就业人员收入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因就业问题发生重大群访事件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2025年财政就业补助资金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1103.18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1551.18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1550.26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1103.18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1551.18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1550.26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至少1000人享受企业吸纳就业人员社会保险补贴，至少178人享受自主创业社保补贴、普通灵活就业社保补贴、高校毕业生到企业就业社保补贴，至少61人享受公益性岗位补贴，至少32人未就业高校毕业生参加“圆梦计划”培训班，确保各类补贴准确发放率均达到100%；确保各类补贴标准符合《新疆维吾尔自治区社会保险补贴办法》《新疆维吾尔自治区就业资金管理暂行办法》的规定标准；项目预计在2024年12月10日前完成，待项目完成后，城镇新增就业2650人，高校毕业就业率达到90.00%，年末城镇调查失业率控制在0.35%以内，政策知晓率达到98.00%以上，受益人员满意度达到95%。通过对“就业补助资金”各个项目的管理和组织实施，拓宽就业困难人员的就业渠道，解决一部分人员的就业问题，保障其基本生活，改善社会环境，维护社会稳定，在一定程度上解决社区和城市管理服务人员不足的问题，为提高社区和城市管理水平发挥积极作用，完成年度城镇新增就业、农村富余劳动力转移就业等目标任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1550.26万元，预算执行率99.94%，结余2901.05元，县级财政收回；2024年结转而来自治区就业补助资金6250元上缴国库；已完成1596人享受企业吸纳就业人员社会保险补贴，已完成87人享受公益性岗位补贴，未就业高校毕业生44人参加“圆梦计划”培训班，32人取得合格证书；各类补贴准确发放率均达100%。通过项目的实施，城镇新增就业达到2532人，政策知晓率达到98.00%，受益人员满意度达到95%。通过对“就业补助资金”各个项目的管理和组织实施，拓宽了就业困难人员的就业渠道，解决了一部分人员的就业问题，保障了其基本生活，改善了社会环境，维护社会稳定，在一定程度上解决社区和城市管理服务人员不足的问题，为提高社区和城市管理水平发挥积极作用，完成年度城镇新增就业、农村富余劳动力转移就业等目标任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享受社会保险补贴人数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此项指标未完成，存在偏差，偏差率为59.60%，主要原因：符合社会保险补贴申领条件的人员基数较预期大幅提升。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自主创业社保补贴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此项指标未完成，存在偏差，偏差率为15.17%，主要原因：多项创业扶持政策加持，降低创业门槛与经营成本，激发群众创业热情，新增自主创业主体数量较预期大幅增长，符合条件的人员基数持续扩大。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未就业高校毕业生参加“圆梦计划”培训班人数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公益性岗位安置就业人数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42%，主要原因：通过乡镇劳动保障所、社区网格、入户走访等多渠道，广泛宣传公益性岗位安置政策、岗位待遇与申请流程，提升就业困难人员知晓度与报名积极性，确保符合条件人员应安尽安。</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社会保险补贴发放准确率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公益性岗位补贴发放准确率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各类补贴发放及时性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公益性岗位补贴人均标准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&lt;=1540元/月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此项指标未完成，存在偏差，偏差率为23%，主要原因：公益性岗位补贴标准发生变化，按照每人每月1890元进行补贴。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城镇新增就业人数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此项指标未完成，存在偏差，偏差率为4.45%，主要原因：企业用工需求收缩，新增就业岗位不足。</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年末城镇调查失业率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此项指标未完成，存在偏差，偏差率为100%，主要原因：以前为城镇登记失业率，后指标统计口径变化，变为城镇调查失业率，指标控制在5.5%以内。</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78.93分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2025年财政稳岗就业扩大社会保险补贴范围补助资金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通过实施扩大社会保险补贴范围政策，支持重点领域企业扩大岗位规模，吸纳重点群体就业，2025年预计支付0.53万元，拨付一家公司稳岗就业社保补贴资金，实现12名高校毕业生就业。</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施支出0.53万元，预算执行率100%，2025年通过实施扩大社会保险补贴范围政策，支持了重点领域企业扩大岗位规模，吸纳了重点群体就业，2025年拨付一家公司稳岗就业社保补贴资金0.53万元，实现了12名高校毕业生就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稳岗就业补贴补助人数（人）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符合条件的补贴足额发放率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申请补贴在规定时间内发放率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偏差率为正向偏差，为补贴发放全流程严格把控、审核高效，所有符合条件的申请均在规定时限内100%发放到位，发放效率优于预期标准。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符合政策标准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重点群体就业情况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因就业问题发生重大群体性事件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偏差率为正向偏差，为通过优化补贴申请流程、提升经办服务质量、强化政策精准落地，受益群体对政策落实、服务体验、资金发放等环节认可度高，综合满意度达95%，超出目标。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人社局2025年创业担保贷款财政贴息资金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针对我县10名个体工商户出现经营困难、扩大经营等符合条件的可申请创业担保贷款，享受创业担保贷款贴息，从而促进就业和自主创业，增加创业者及就业人员经济收入。争取使申请创业担保贷款个人的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3.29万元，预算执行率100%，以对我县11名个体工商户申请的创业担保贷款发放创业担保贷款贴息资金共计3.29万元，促进了就业和自主创业，增加创业者及就业人员经济收入，使申请创业担保贷款个人的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享受创业担保贷款贴息人员数量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此项指标未完成，存在偏差，偏差率为10%，符合贴息人员由年初预计的10人增加为11人。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监督检查次数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享受创业担保贷款贴息人员贴息发放准确率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此项指标未完成，存在偏差，偏差率为5%，每次贴息发放先由银行测算利息，然后财政局审核，再由人社局科室再次审核和拨付，三方审核使得发放准确率达100%。</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享受创业担保贷款贴息人员贴息享受次数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此项指标未完成，存在偏差，偏差率为25%，主要原因：贴息为一个季度发放一次补贴，2024年第四季度贴息在2025年年初发放。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创业担保贷款贴息平均补贴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=2995.44元/人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经办金融机构乡镇网点覆盖率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此项指标未完成，存在偏差，偏差率为11%，主要原因：通过优化创业担保贷款经办服务网络，实现全县所有乡镇创业担保贷款服务网点100%覆盖。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增加创业者及就业人员经济收入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申请创业担保贷款个人的满意度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关于昌吉州推动2025年经济实现“开门红”若干政策措施奖补资金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对社会保险缴费人数实现增长的规模以上工业企业进行奖补，全年享受补贴企业数达到30家，享受补贴人数达到200人。每月按照每增长1人1000元给予昌吉州规模以上工业企业吸纳就业奖补资金。使得享受补贴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20万元，预算执行率100%。2025年对社会保险缴费人数实现增长的规模以上工业企业每月按照每增长1人1000元进行了奖补，全年享受补贴企业数达到23家，享受补贴人数达到200人，享受补贴企业满意度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享受补贴企业数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此项指标未完成，存在偏差，偏差率为23.33%，主要原因是部分企业用工不稳定、不符合补贴申领条件。下一步措施：严格按照政策要求实施。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享受补贴人数覆盖率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新增就业人数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政策覆盖率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94.17分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