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吉木萨尔县交通运输局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（一）贯彻执行国家和自治区、自治州有关公路交通运输行业的法律、法规、方针、政策，并组织实施和监督检查；拟订本县农村公路网、交通运输业发展规划和中长期计划并监督实施。</w:t>
      </w:r>
    </w:p>
    <w:p>
      <w:pPr>
        <w:spacing w:line="580" w:lineRule="exact"/>
        <w:ind w:firstLine="640"/>
        <w:jc w:val="both"/>
      </w:pPr>
      <w:r>
        <w:rPr>
          <w:rFonts w:ascii="仿宋_GB2312" w:hAnsi="仿宋_GB2312" w:eastAsia="仿宋_GB2312"/>
          <w:sz w:val="32"/>
        </w:rPr>
        <w:t>（二）负责做好交通运输行业的法治宣传、行政复议、行政应诉、行政执法和监督工作。</w:t>
      </w:r>
    </w:p>
    <w:p>
      <w:pPr>
        <w:spacing w:line="580" w:lineRule="exact"/>
        <w:ind w:firstLine="640"/>
        <w:jc w:val="both"/>
      </w:pPr>
      <w:r>
        <w:rPr>
          <w:rFonts w:ascii="仿宋_GB2312" w:hAnsi="仿宋_GB2312" w:eastAsia="仿宋_GB2312"/>
          <w:sz w:val="32"/>
        </w:rPr>
        <w:t>（三）组织领导吉木萨尔县道路运输管理工作，承担辖区内城市公交、出租汽车等客货运企业及营运车辆，维修驾培行业、运输站场、物流托运管理工作。承担公路建设市场监管责任。承担吉木萨尔县农村公路养护管理责任。</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吉木萨尔县交通运输局无下属预算单位。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2025年度收入总计17,137.20万元，</w:t>
      </w:r>
      <w:r>
        <w:rPr>
          <w:rFonts w:ascii="仿宋_GB2312" w:hAnsi="仿宋_GB2312" w:eastAsia="仿宋_GB2312"/>
          <w:b w:val="0"/>
          <w:sz w:val="32"/>
        </w:rPr>
        <w:t>其中：本年收入合计17,136.40万元，使用非财政拨款结余（含专用结余）0.00万元，年初结转和结余0.80万元。</w:t>
      </w:r>
    </w:p>
    <w:p>
      <w:pPr>
        <w:spacing w:line="580" w:lineRule="exact"/>
        <w:ind w:firstLine="640"/>
        <w:jc w:val="both"/>
      </w:pPr>
      <w:r>
        <w:rPr>
          <w:rFonts w:ascii="仿宋_GB2312" w:hAnsi="仿宋_GB2312" w:eastAsia="仿宋_GB2312"/>
          <w:b/>
          <w:sz w:val="32"/>
        </w:rPr>
        <w:t>2025年度支出总计17,137.20万元，</w:t>
      </w:r>
      <w:r>
        <w:rPr>
          <w:rFonts w:ascii="仿宋_GB2312" w:hAnsi="仿宋_GB2312" w:eastAsia="仿宋_GB2312"/>
          <w:b w:val="0"/>
          <w:sz w:val="32"/>
        </w:rPr>
        <w:t>其中：本年支出合计17,137.02万元，结余分配0.00万元，年末结转和结余0.17万元。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459.55万元，增长2.76%，主要原因是：本年增加2025年度年超长期特别国债支持交通运输领域消费品以旧换新支出政府性基金收入增加，超长期特国债支持交通运输领域消费品依旧换新自治区配套资金项目有所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本年收入17,136.40万元，</w:t>
      </w:r>
      <w:r>
        <w:rPr>
          <w:rFonts w:ascii="仿宋_GB2312" w:hAnsi="仿宋_GB2312" w:eastAsia="仿宋_GB2312"/>
          <w:b w:val="0"/>
          <w:sz w:val="32"/>
        </w:rPr>
        <w:t>其中：财政拨款收入16,943.14万元，占98.87%；上级补助收入0.00万元，占0.00%；事业收入0.00万元，占0.00%；经营收入0.00万元，占0.00%；附属单位上缴收入0.00万元，占0.00%；其他收入193.26万元，占1.13%。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本年支出17,137.02万元，</w:t>
      </w:r>
      <w:r>
        <w:rPr>
          <w:rFonts w:ascii="仿宋_GB2312" w:hAnsi="仿宋_GB2312" w:eastAsia="仿宋_GB2312"/>
          <w:b w:val="0"/>
          <w:sz w:val="32"/>
        </w:rPr>
        <w:t>其中：基本支出537.58万元，占3.14%；项目支出16,599.44万元，占96.86%；上缴上级支出0.00万元，占0.00%；经营支出0.00万元，占0.00%；对附属单位补助支出0.00万元，占0.00%。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2025年度财政拨款收入总计16,943.14万元，</w:t>
      </w:r>
      <w:r>
        <w:rPr>
          <w:rFonts w:ascii="仿宋_GB2312" w:hAnsi="仿宋_GB2312" w:eastAsia="仿宋_GB2312"/>
          <w:b w:val="0"/>
          <w:sz w:val="32"/>
        </w:rPr>
        <w:t>其中：年初财政拨款结转和结余0.00万元，本年财政拨款收入16,943.14万元。</w:t>
      </w:r>
      <w:r>
        <w:rPr>
          <w:rFonts w:ascii="仿宋_GB2312" w:hAnsi="仿宋_GB2312" w:eastAsia="仿宋_GB2312"/>
          <w:b/>
          <w:sz w:val="32"/>
        </w:rPr>
        <w:t>财政拨款支出总计16,943.14万元，</w:t>
      </w:r>
      <w:r>
        <w:rPr>
          <w:rFonts w:ascii="仿宋_GB2312" w:hAnsi="仿宋_GB2312" w:eastAsia="仿宋_GB2312"/>
          <w:b w:val="0"/>
          <w:sz w:val="32"/>
        </w:rPr>
        <w:t>其中：年末财政拨款结转和结余0.00万元，本年财政拨款支出16,943.14万元。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582.83万元，增长3.56%，主要原因是：本年增加吉木萨尔县南山伴行公路改扩建项目耕地占用费及滞纳金、申请拨付北三台园区企业职工通勤客车补助资金、2025年自治区第三批地方政府债券转贷资金、2025年超长期特别国债支持交通运输领域消费品以旧换新支出。</w:t>
      </w:r>
      <w:r>
        <w:rPr>
          <w:rFonts w:ascii="仿宋_GB2312" w:hAnsi="仿宋_GB2312" w:eastAsia="仿宋_GB2312"/>
          <w:b/>
          <w:sz w:val="32"/>
        </w:rPr>
        <w:t>与年初预算相比，</w:t>
      </w:r>
      <w:r>
        <w:rPr>
          <w:rFonts w:ascii="仿宋_GB2312" w:hAnsi="仿宋_GB2312" w:eastAsia="仿宋_GB2312"/>
          <w:b w:val="0"/>
          <w:sz w:val="32"/>
        </w:rPr>
        <w:t>年初预算数3,845.82万元，决算数16,943.14万元，预决算差异率340.56%，主要原因是：年中追加2025年超长期特别国债支持交通运输领域消费品以旧换新支出、中央对地方成品油税费改革转移支付资金、申请拨付准备企业职工通勤客车补助资金、2025年自治区第三批地方政府债券转贷资金、2025年车辆购置税收入补助地方[第一批]用于普通省道及农村公路建设“以奖代补”资金、中央对地方成品油税费改革转移支付资金。</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正常运转、农村公路建设养护、交通运输公共服务、民生交通保障、安全生产监管等等重点支出，体现在有关支出科目中。</w:t>
      </w:r>
    </w:p>
    <w:p>
      <w:pPr>
        <w:spacing w:line="580" w:lineRule="exact"/>
        <w:ind w:firstLine="640"/>
        <w:jc w:val="both"/>
      </w:pPr>
      <w:r>
        <w:rPr>
          <w:rFonts w:ascii="仿宋_GB2312" w:hAnsi="仿宋_GB2312" w:eastAsia="仿宋_GB2312"/>
          <w:b w:val="0"/>
          <w:sz w:val="32"/>
        </w:rPr>
        <w:t>按照支出功能分类，交通运输支出（类）公路水路运输（款）公路建设（项）的支出占本年财政拨款支出总额的比重最高，2025年度决算数为8,662.63万元，占比51.13%，主要用于农村公路项目建设、公路日常养护、超长期特别国债项目实施、成品油税费对应交通补助支出，保障县域道路交通基础设施稳步提升。。</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2025年度一般公共预算财政拨款支出11,768.40万元，</w:t>
      </w:r>
      <w:r>
        <w:rPr>
          <w:rFonts w:ascii="仿宋_GB2312" w:hAnsi="仿宋_GB2312" w:eastAsia="仿宋_GB2312"/>
          <w:b w:val="0"/>
          <w:sz w:val="32"/>
        </w:rPr>
        <w:t>占本年支出合计的68.67%。</w:t>
      </w:r>
      <w:r>
        <w:rPr>
          <w:rFonts w:ascii="仿宋_GB2312" w:hAnsi="仿宋_GB2312" w:eastAsia="仿宋_GB2312"/>
          <w:b/>
          <w:sz w:val="32"/>
        </w:rPr>
        <w:t>与上年相比，</w:t>
      </w:r>
      <w:r>
        <w:rPr>
          <w:rFonts w:ascii="仿宋_GB2312" w:hAnsi="仿宋_GB2312" w:eastAsia="仿宋_GB2312"/>
          <w:b w:val="0"/>
          <w:sz w:val="32"/>
        </w:rPr>
        <w:t>减少3,792.83万元，下降24.37%，主要原因是：本年公路项目耕地占用费，历年项目资金欠款等项目资金较上年减少。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3,817.42万元，决算数11,768.40万元，预决算差异率208.28%，主要原因是：本年在职人员增加，年中追加人员经费及人员工资、社保、公积金基数调增部分资金，导致预决算存在差异，年中增加基金类投资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1.社会保障和就业支出（类）89.90万元，占0.76%。</w:t>
      </w:r>
    </w:p>
    <w:p>
      <w:pPr>
        <w:spacing w:line="580" w:lineRule="exact"/>
        <w:ind w:firstLine="640"/>
        <w:jc w:val="both"/>
      </w:pPr>
      <w:r>
        <w:rPr>
          <w:rFonts w:ascii="仿宋_GB2312" w:hAnsi="仿宋_GB2312" w:eastAsia="仿宋_GB2312"/>
          <w:b w:val="0"/>
          <w:sz w:val="32"/>
        </w:rPr>
        <w:t>2.卫生健康支出（类）33.58万元，占0.29%。</w:t>
      </w:r>
    </w:p>
    <w:p>
      <w:pPr>
        <w:spacing w:line="580" w:lineRule="exact"/>
        <w:ind w:firstLine="640"/>
        <w:jc w:val="both"/>
      </w:pPr>
      <w:r>
        <w:rPr>
          <w:rFonts w:ascii="仿宋_GB2312" w:hAnsi="仿宋_GB2312" w:eastAsia="仿宋_GB2312"/>
          <w:b w:val="0"/>
          <w:sz w:val="32"/>
        </w:rPr>
        <w:t>3.交通运输支出（类）11,612.51万元，占98.68%。</w:t>
      </w:r>
    </w:p>
    <w:p>
      <w:pPr>
        <w:spacing w:line="580" w:lineRule="exact"/>
        <w:ind w:firstLine="640"/>
        <w:jc w:val="both"/>
      </w:pPr>
      <w:r>
        <w:rPr>
          <w:rFonts w:ascii="仿宋_GB2312" w:hAnsi="仿宋_GB2312" w:eastAsia="仿宋_GB2312"/>
          <w:b w:val="0"/>
          <w:sz w:val="32"/>
        </w:rPr>
        <w:t>4.住房保障支出（类）32.41万元，占0.28%。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2.97万元，下降100.00%，主要原因是：本年度科学技术类支出没有发生余额，导致该科目支出下降。</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2.社会保障和就业支出（类）行政事业单位养老支出（款）行政单位离退休（项）：支出决算数为9.27万元，比上年决算增加3.16万元，增长51.72%，主要原因是：本年增加退休人员基础绩效奖，退休费支出增加。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40.62万元，比上年决算增加3.85万元，增长10.47%，主要原因是：本年在职人员工资基数调增，养老保险金基数上涨，导致机关事业单位养老保险金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40.01万元，比上年决算增加17.78万元，增长79.98%，主要原因是：本年在职人员工资基数调增，职业年金基数上涨，导致职业年金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5.卫生健康支出（类）行政事业单位医疗（款）行政单位医疗（项）：支出决算数为19.03万元，比上年决算增加4.18万元，增长28.15%，主要原因是：本年在职人员工资基数调增，医保基数上涨，导致人员医保增加。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6.卫生健康支出（类）行政事业单位医疗（款）事业单位医疗（项）：支出决算数为4.45万元，比上年决算增加0.91万元，增长25.71%，主要原因是：本年在职人员工资基数调增，医保基数上涨，导致人员医保增加。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10.09万元，比上年决算增加8.95万元，增长785.09%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8.交通运输支出（类）公路水路运输（款）行政运行（项）：支出决算数为333.85万元，比上年决算增加36.41万元，增长12.24%，主要原因是：本年在职人员工资调增，导致相关人员经费较上年有所增加。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9.交通运输支出（类）公路水路运输（款）机关服务（项）：支出决算数为47.22万元，比上年决算增加2.72万元，增长6.11%，主要原因是：本年在职人员调入，人员职级不同，工资基数不同，导致人员经费较上年增加。</w:t>
      </w:r>
    </w:p>
    <w:p>
      <w:pPr>
        <w:spacing w:line="580" w:lineRule="exact"/>
        <w:ind w:firstLine="640"/>
        <w:jc w:val="both"/>
      </w:pPr>
      <w:r>
        <w:rPr>
          <w:rFonts w:ascii="仿宋_GB2312" w:hAnsi="仿宋_GB2312" w:eastAsia="仿宋_GB2312"/>
          <w:b w:val="0"/>
          <w:sz w:val="32"/>
        </w:rPr>
        <w:t>10.交通运输支出（类）公路水路运输（款）公路建设（项）：支出决算数为8,662.63万元，比上年决算减少2,578.07万元，下降22.94%，主要原因是：本年度公路建设项目实施规模有所缩减，相应项目资金支出减少。</w:t>
      </w:r>
    </w:p>
    <w:p>
      <w:pPr>
        <w:spacing w:line="580" w:lineRule="exact"/>
        <w:ind w:firstLine="640"/>
        <w:jc w:val="both"/>
      </w:pPr>
      <w:r>
        <w:rPr>
          <w:rFonts w:ascii="仿宋_GB2312" w:hAnsi="仿宋_GB2312" w:eastAsia="仿宋_GB2312"/>
          <w:b w:val="0"/>
          <w:sz w:val="32"/>
        </w:rPr>
        <w:t>11.交通运输支出（类）公路水路运输（款）公路养护（项）：支出决算数为1,503.90万元，比上年决算增加414.90万元，增长38.10%，主要原因是：本年度增加公路养护政府还贷二级公路取消收费后补助资金。</w:t>
      </w:r>
    </w:p>
    <w:p>
      <w:pPr>
        <w:spacing w:line="580" w:lineRule="exact"/>
        <w:ind w:firstLine="640"/>
        <w:jc w:val="both"/>
      </w:pPr>
      <w:r>
        <w:rPr>
          <w:rFonts w:ascii="仿宋_GB2312" w:hAnsi="仿宋_GB2312" w:eastAsia="仿宋_GB2312"/>
          <w:b w:val="0"/>
          <w:sz w:val="32"/>
        </w:rPr>
        <w:t>12.交通运输支出（类）公路水路运输（款）交通运输信息化建设（项）：支出决算数为51.90万元，比上年决算增加51.90万元，增长100.00%，主要原因是：本年度的增加吉木萨尔县农村公路网核查项目。</w:t>
      </w:r>
    </w:p>
    <w:p>
      <w:pPr>
        <w:spacing w:line="580" w:lineRule="exact"/>
        <w:ind w:firstLine="640"/>
        <w:jc w:val="both"/>
      </w:pPr>
      <w:r>
        <w:rPr>
          <w:rFonts w:ascii="仿宋_GB2312" w:hAnsi="仿宋_GB2312" w:eastAsia="仿宋_GB2312"/>
          <w:b w:val="0"/>
          <w:sz w:val="32"/>
        </w:rPr>
        <w:t>13.交通运输支出（类）公路水路运输（款）其他公路水路运输支出（项）：支出决算数为49.37万元，比上年决算减少118.65万元，下降70.62%，主要原因是：本年科目调整，交通局公交运营补贴资金上年度在其他公路水路运输支出科目列支，本年度在公共交通运营补助科目列支，导致经费较上年减少。</w:t>
      </w:r>
    </w:p>
    <w:p>
      <w:pPr>
        <w:spacing w:line="580" w:lineRule="exact"/>
        <w:ind w:firstLine="640"/>
        <w:jc w:val="both"/>
      </w:pPr>
      <w:r>
        <w:rPr>
          <w:rFonts w:ascii="仿宋_GB2312" w:hAnsi="仿宋_GB2312" w:eastAsia="仿宋_GB2312"/>
          <w:b w:val="0"/>
          <w:sz w:val="32"/>
        </w:rPr>
        <w:t>14.交通运输支出（类）其他交通运输支出（款）公共交通运营补助（项）：支出决算数为859.44万元，比上年决算减少46.43万元，下降5.13%，主要原因是：本年科目调整，交通局公交运营补贴资金上年度在其他公路水路运输支出科目列支，本年度在公共交通运营补助科目列支，导致经费较上年减少。</w:t>
      </w:r>
    </w:p>
    <w:p>
      <w:pPr>
        <w:spacing w:line="580" w:lineRule="exact"/>
        <w:ind w:firstLine="640"/>
        <w:jc w:val="both"/>
      </w:pPr>
      <w:r>
        <w:rPr>
          <w:rFonts w:ascii="仿宋_GB2312" w:hAnsi="仿宋_GB2312" w:eastAsia="仿宋_GB2312"/>
          <w:b w:val="0"/>
          <w:sz w:val="32"/>
        </w:rPr>
        <w:t>15.交通运输支出（类）其他交通运输支出（款）其他交通运输支出（项）：支出决算数为104.20万元，比上年决算减少1,594.46万元，下降93.87%，主要原因是：本年减少吉木萨尔县南山伴行公路改扩建项目耕地占用费及滞纳金、减少准东企业职工通勤客车补助资金、9辆公交车采购资金。</w:t>
      </w:r>
    </w:p>
    <w:p>
      <w:pPr>
        <w:spacing w:line="580" w:lineRule="exact"/>
        <w:ind w:firstLine="640"/>
        <w:jc w:val="both"/>
      </w:pPr>
      <w:r>
        <w:rPr>
          <w:rFonts w:ascii="仿宋_GB2312" w:hAnsi="仿宋_GB2312" w:eastAsia="仿宋_GB2312"/>
          <w:b w:val="0"/>
          <w:sz w:val="32"/>
        </w:rPr>
        <w:t>16.住房保障支出（类）住房改革支出（款）住房公积金（项）：支出决算数为32.41万元，比上年决算增加2.98万元，增长10.13%，主要原因是：本年在职人员调入，人员职级不同，缴费基数不同，导致住房公积金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2025年度一般公共预算财政拨款基本支出536.96万元，其中：</w:t>
      </w:r>
      <w:r>
        <w:rPr>
          <w:rFonts w:ascii="仿宋_GB2312" w:hAnsi="仿宋_GB2312" w:eastAsia="仿宋_GB2312"/>
          <w:b/>
          <w:sz w:val="32"/>
        </w:rPr>
        <w:t>人员经费483.83万元，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公用经费53.13万元，</w:t>
      </w:r>
      <w:r>
        <w:rPr>
          <w:rFonts w:ascii="仿宋_GB2312" w:hAnsi="仿宋_GB2312" w:eastAsia="仿宋_GB2312"/>
          <w:b w:val="0"/>
          <w:sz w:val="32"/>
        </w:rPr>
        <w:t>包括：办公费、邮电费、差旅费、公务接待费、工会经费、公务用车运行维护费、其他交通费用、其他商品和服务支出。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正常运转、农村公路建设养护、交通运输公共服务、民生交通保障、安全生产监管等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2025年度政府性基金预算财政拨款收入总计5,174.74万元，</w:t>
      </w:r>
      <w:r>
        <w:rPr>
          <w:rFonts w:ascii="仿宋_GB2312" w:hAnsi="仿宋_GB2312" w:eastAsia="仿宋_GB2312"/>
          <w:b w:val="0"/>
          <w:sz w:val="32"/>
        </w:rPr>
        <w:t>其中：年初结转和结余0.00万元，本年收入5,174.74万元。</w:t>
      </w:r>
      <w:r>
        <w:rPr>
          <w:rFonts w:ascii="仿宋_GB2312" w:hAnsi="仿宋_GB2312" w:eastAsia="仿宋_GB2312"/>
          <w:b/>
          <w:sz w:val="32"/>
        </w:rPr>
        <w:t>政府性基金预算财政拨款支出总计5,174.74万元，</w:t>
      </w:r>
      <w:r>
        <w:rPr>
          <w:rFonts w:ascii="仿宋_GB2312" w:hAnsi="仿宋_GB2312" w:eastAsia="仿宋_GB2312"/>
          <w:b w:val="0"/>
          <w:sz w:val="32"/>
        </w:rPr>
        <w:t>其中：年末结转和结余0.00万元，本年支出5,174.74万元。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增加4,375.66万元，增长547.59%，主要原因是：年中追加下达政府类基金项目等资金，导致本年度基金拨增加。</w:t>
      </w:r>
      <w:r>
        <w:rPr>
          <w:rFonts w:ascii="仿宋_GB2312" w:hAnsi="仿宋_GB2312" w:eastAsia="仿宋_GB2312"/>
          <w:b/>
          <w:sz w:val="32"/>
        </w:rPr>
        <w:t>与年初预算相比，</w:t>
      </w:r>
      <w:r>
        <w:rPr>
          <w:rFonts w:ascii="仿宋_GB2312" w:hAnsi="仿宋_GB2312" w:eastAsia="仿宋_GB2312"/>
          <w:b w:val="0"/>
          <w:sz w:val="32"/>
        </w:rPr>
        <w:t>年初预算数28.40万元，决算数5,174.74万元，预决算差异率18,120.92%，主要原因是：年中追加下达政府类基金项目资金，导致预决算存在差异。</w:t>
      </w:r>
    </w:p>
    <w:p>
      <w:pPr>
        <w:spacing w:line="580" w:lineRule="exact"/>
        <w:ind w:firstLine="640"/>
        <w:jc w:val="both"/>
      </w:pPr>
      <w:r>
        <w:rPr>
          <w:rFonts w:ascii="仿宋_GB2312" w:hAnsi="仿宋_GB2312" w:eastAsia="仿宋_GB2312"/>
          <w:b w:val="0"/>
          <w:sz w:val="32"/>
        </w:rPr>
        <w:t>政府性基金预算财政拨款本年支出5,174.74万元。具体情况如下：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1.城乡社区支出（类）国有土地使用权出让收入安排的支出（款）征地和拆迁补偿支出（项）：支出决算数为0.00万元，比上年决算减少136.56万元，下降100.00%，主要原因是：本年度减少土地划拨费。</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2.城乡社区支出（类）国有土地使用权出让收入安排的支出（款）农村基础设施建设支出（项）：支出决算数为0.00万元，比上年决算减少168.81万元，下降100.00%，主要原因是：本年度减少土地划拨费。</w:t>
      </w:r>
    </w:p>
    <w:p>
      <w:pPr>
        <w:spacing w:line="580" w:lineRule="exact"/>
        <w:ind w:firstLine="640"/>
        <w:jc w:val="both"/>
      </w:pPr>
      <w:r>
        <w:rPr>
          <w:rFonts w:ascii="仿宋_GB2312" w:hAnsi="仿宋_GB2312" w:eastAsia="仿宋_GB2312"/>
          <w:b w:val="0"/>
          <w:sz w:val="32"/>
        </w:rPr>
        <w:t>3.城乡社区支出（类）国有土地使用权出让收入安排的支出（款）其他国有土地使用权出让收入安排的支出（项）：支出决算数为233.53万元，比上年决算减少13.38万元，下降5.42%，主要原因是：本年度减少土地划拨费项目支出。</w:t>
      </w:r>
    </w:p>
    <w:p>
      <w:pPr>
        <w:spacing w:line="580" w:lineRule="exact"/>
        <w:ind w:firstLine="640"/>
        <w:jc w:val="both"/>
      </w:pPr>
      <w:r>
        <w:rPr>
          <w:rFonts w:ascii="仿宋_GB2312" w:hAnsi="仿宋_GB2312" w:eastAsia="仿宋_GB2312"/>
          <w:b w:val="0"/>
          <w:sz w:val="32"/>
        </w:rPr>
        <w:t>4.资源勘探工业信息等支出（类）超长期特别国债安排的支出（款）制造业（项）：支出决算数为541.50万元，比上年决算增加294.70万元，增长119.41%，主要原因是：本年度增加超长期国债安排的项目支出。</w:t>
      </w:r>
    </w:p>
    <w:p>
      <w:pPr>
        <w:spacing w:line="580" w:lineRule="exact"/>
        <w:ind w:firstLine="640"/>
        <w:jc w:val="both"/>
      </w:pPr>
      <w:r>
        <w:rPr>
          <w:rFonts w:ascii="仿宋_GB2312" w:hAnsi="仿宋_GB2312" w:eastAsia="仿宋_GB2312"/>
          <w:b w:val="0"/>
          <w:sz w:val="32"/>
        </w:rPr>
        <w:t>5.其他支出（类）其他政府性基金及对应专项债务收入安排的支出（款）其他政府性基金债务收入安排的支出（项）：支出决算数为4,399.70万元，比上年决算增加4,399.70万元，增长100.00%，主要原因是：本年度年中增加吉木萨尔县X183线、吉木萨尔县基础设施建设等专项债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2025年度财政拨款“三公”经费支出4.17万元，</w:t>
      </w:r>
      <w:r>
        <w:rPr>
          <w:rFonts w:ascii="仿宋_GB2312" w:hAnsi="仿宋_GB2312" w:eastAsia="仿宋_GB2312"/>
          <w:b w:val="0"/>
          <w:sz w:val="32"/>
        </w:rPr>
        <w:t>比上年增加0.17万元，增长4.25%，主要原因是：本单位公务用车日渐老化，维修维护成本增加，导致公务用车运行维护费较上年增加。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公务用车购置及运行维护费支出4.00万元，占95.92%，比上年增加0.00万元，增长0.00%，主要原因是：本单位公务用车购置及运行维护费与上年一致无变化。</w:t>
      </w:r>
      <w:r>
        <w:rPr>
          <w:rFonts w:ascii="仿宋_GB2312" w:hAnsi="仿宋_GB2312" w:eastAsia="仿宋_GB2312"/>
          <w:b w:val="0"/>
          <w:sz w:val="32"/>
        </w:rPr>
        <w:t>公务接待费支出0.17万元，占4.08%，比上年增加0.17万元，增长100.00%，主要原因是：本年因业务需求，增加公务接待工作，导致公务接待费较上年增加。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加油费、维修费、保险费、审车费、过路费等。公务用车购置数0辆，公务用车保有量2辆。国有资产占用情况中固定资产车辆5辆，与公务用车保有量差异原因是：差异车辆为待注销车辆，资产系统次年进行注销，车辆未产生费用。</w:t>
      </w:r>
    </w:p>
    <w:p>
      <w:pPr>
        <w:spacing w:line="580" w:lineRule="exact"/>
        <w:ind w:firstLine="640"/>
        <w:jc w:val="both"/>
      </w:pPr>
      <w:r>
        <w:rPr>
          <w:rFonts w:ascii="仿宋_GB2312" w:hAnsi="仿宋_GB2312" w:eastAsia="仿宋_GB2312"/>
          <w:b w:val="0"/>
          <w:sz w:val="32"/>
        </w:rPr>
        <w:t>公务接待费0.17万元，开支内容包括因上级发涵，接待上级领导检查/督导组检查/工作小组考察学习产生的就餐费。单位全年安排的国内公务接待3批次，36人次。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4.30万元，决算数4.17万元，预决算差异率-3.02%，主要原因是：本年安排公务接待工作，减少公务接待运行成本费用。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0.30万元，决算数0.17万元，预决算差异率-43.33%，主要原因是：严格控制公务接待活动，认真执行经费开支标准，减少公务接待运行成本费用。</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交通运输局（行政单位和参照公务员法管理事业单位）机关运行经费支出53.13万元，比上年减少2.81万元，下降5.02%，主要原因是：本年电费、邮电费、维修（护）费、租赁费、公务接待费、专用材料费、差旅费减少，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2025年度政府采购支出总额59.28万元，其中：政府采购货物支出3.60万元、政府采购工程支出0.00万元、政府采购服务支出55.68万元。</w:t>
      </w:r>
    </w:p>
    <w:p>
      <w:pPr>
        <w:spacing w:line="580" w:lineRule="exact"/>
        <w:ind w:firstLine="640"/>
        <w:jc w:val="both"/>
      </w:pPr>
      <w:r>
        <w:rPr>
          <w:rFonts w:ascii="仿宋_GB2312" w:hAnsi="仿宋_GB2312" w:eastAsia="仿宋_GB2312"/>
          <w:b w:val="0"/>
          <w:sz w:val="32"/>
        </w:rPr>
        <w:t>授予中小企业合同金额58.44万元，占政府采购支出总额的98.58%，其中：授予小微企业合同金额58.44万元，占政府采购支出总额的98.58%。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361.86平方米，价值86.75万元。车辆5辆，价值70.25万元，其中：副部（省）级及以上领导用车0辆、主要负责人用车0辆、机要通信用车0辆、应急保障用车0辆、执法执勤用车4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17,137.20万元，实际执行总额17,137.20万元；预算绩效评价项目7个，全年预算数3,288.00万元，全年执行数3,125.60万元。预算绩效管理取得的成效：一是确保资金的高效使用，切实发挥财政资金的使用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的开展提供帮助。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吉木萨尔县交通运输局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1,309.50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1,388.14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1,388.14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3,924.52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15,555.18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15,555.18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193.88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193.88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10,468.04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34,274.40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34,274.40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10,468.04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34,274.40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34,274.40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目标1：将围绕“重大项目突破、乡村振兴服务、运输产业培育、数字治理升级”四大核心，推动交通事业从“量变”向“质变”跨越，为县域经济高质量发展提供坚实支撑。以党建引领，狠抓作风建设。
目标2：实施“三大行动”，全面打击非法营运行为。“线上+线下”精准治超，有效遏制超限超载行为。针对非法营运取证难问题，开展岗位大练兵。通过组织法律法规学习、案例分析研讨、模拟实战演练、邀请专家授课等方式，强化执法人员培训，着重提升其取证能力，以提高执法成效。交通运输安全生产监管覆盖率达到100%。
目标3：消除农村公路隐患，筑牢群众出行安全防线。创新形式重效果，筑牢企业安全生产防线。2025年新建农村公路20.5公里，对全县1798公里农村公路进行日常养护工作，针对2024年排查出的20条农村公路上共计546个存在隐患的路口，全面开展整治工作。通过增设标志标线，警示桩等设施，切实改善农村公路平交道口的交通安全状况，提升农村公路本质安全。
目标4：保“规上”育“规下”，不断提高运输业贡献占比。建立“交通运输企业梯级培育库”，并明确两到三年提级升规计划，通过摸排确定近几年的企业培育名单，拟定8家企业作为培育对象，不断壮大交通运输经济总量和贡献占比。
目标5：推行全生命周期管理办法，构建交通建设规范有序新生态，研究制定《交通建设项目全生命周期管理办法》，构建一个环环相扣的监管体系，确保从项目规划起始，直至竣工验收的全过程，每个环节均能得到有效管控，促使交通建设工作迈向规范化、有序化发展轨道。计划完成2025年10个重点项目，涵盖国省干线、农村公路、铁路、公路附属服务设施四大领域，2025年计划投资建设资金7000万元，通过项目实施有利于构建完整的交通运输体系，提升我县对道路运输能力。</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17137.2万元，全年执行数为17137.2万元，总预算执行率为100%。2025年我单位完成以下工作内容：2025新建农村公路里程30.91公里，2025农村公路养护里程1798公里，完成2025年重点项目6个，营运车辆道路运输证年审完成数量3000个，治理存在隐患路口数量524个，纳入“交通运输企业梯级培育库”企业数量7个，完成公路建设行业计划投资金额11.2519亿元，交通运输安全生产监管覆盖率达到100%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2025年新建农村公路里程</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&gt;=20.5公里</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吉木萨尔县交通运输局2025年重点工作、重点项目及“十五五”规划情况汇报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=30.91公里</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2025年农村公路养护里程</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&gt;=1798公里</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吉木萨尔县交通运输局2025年重点工作、重点项目及“十五五”规划情况汇报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=1798公里</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完成2025年重点项目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吉木萨尔县交通运输局2025年重点工作、重点项目及“十五五”规划情况汇报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营运车辆道路运输证年审完成数量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&gt;=1500个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吉木萨尔县交通运输局2025年重点工作、重点项目及“十五五”规划情况汇报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治理存在隐患路口数量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&gt;=546个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吉木萨尔县交通运输局2025年重点工作、重点项目及“十五五”规划情况汇报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=524个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纳入“交通运输企业梯级培育库”企业数量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吉木萨尔县交通运输局2025年重点工作、重点项目及“十五五”规划情况汇报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公路建设行业计划投资金额</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&gt;=7000万元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吉木萨尔县交通运输局2025年重点工作、重点项目及“十五五”规划情况汇报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=11.2519亿元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交通运输安全生产监管覆盖率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吉木萨尔县交通运输局2025年重点工作、重点项目及“十五五”规划情况汇报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88.47</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2025年中央对地方成品油税费改革转移支付用于农村公路养护支出预算项目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吉木萨尔县交通运输局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全县区域内1788.11公里农村公路进行养护修补，增设标志标牌，方便群众出行，上级补助资金按时合规支付，小修养护项目按时开工建设，质量验收合格，对我县经济发展起到促进作用。小修养护单位成为控制在94元/平方米。使得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698万元，预算执行率为100%，实际已完成对全县区域内1788.11公里农村公路养护修补，增设标志标牌，方便群众出行，上级补助资金按时合规支付，小修养护项目按时开工建设，质量验收合格，通过项目实施，加强公路安全稳定运行基础，提升群众出行体验，促进我县经济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小修养护里程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&gt;=1788.11千米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=1788.11千米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养护工程合格率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小修养护按时开工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小修养护单位成本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&lt;=94元/平方米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对经济发展促进作用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交通建设符合环评审批要求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2025年交通运输领域专项资金预算（第一批）的通知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吉木萨尔县交通运输局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项目里程10.5千米，公路等级三级，主要实施路基路面桥涵及其交通附属设施。本项目包含标志牌，波形梁护栏，爆闪灯，凸面镜，护柱，挡墙，喷锚挂网。完成“十四五"现代综合交通运输体系发展规划范围内德综合交通，公路等年度建设任务，带动我县经济发展，为交通沿线居民带来经济收入，提供便利出行条件。待项目实施完成，争取使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735万元，预算执行率为100%，实际已完成新建公路里程10.5千米，公路等级三级，主要实施路基路面桥涵及其交通附属设施。通过项目实施，加强交通运输基础设施建设、养护、运维资金兜底保障能力，带动我县经济发展，为交通沿线居民带来经济收入，提供便利出行条件，促进了地方经济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新建公路里程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&gt;=10.50千米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按期开工率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项目按计划完工率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新建公路成本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&lt;=100万元/千米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=100万元/千米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对经济发展的促进作用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交通建设符合环评审批合格率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2025年公交运营补贴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吉木萨尔县交通运输局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本项目主要实施内容为：1.完成支付对40辆公交车运营补贴484万元，按照协议要求在规定时间内发放到位。 2.保障人民群众安全便捷出行，推动行业健康发展。 3.有效减轻城市客运公交车经营者成本压力，促进客运服务。待项目实施完成，争取使受益群众满意度不低于95%。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截止2025年12月31日，项目实际支出484万元，预算执行率为100%。本项目实际完成公交车补贴数量40辆，通过项目的实施，确保城市公交正常运营，鼓励公共交通发展，更好地服务群众，对公交企业运营进行补贴。</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公交车补贴数量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公交车正常运行率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公交车补助认定准确率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资金补助及时率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平均每个月补助标准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保障人民群众便捷出行，推动行业健康发展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提升公共服务水平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2025年政府还贷二级公路取消收费后补助资金预算项目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吉木萨尔县交通运输局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按照上级部门相关文件要求，要进一步农村公路建好、管好、护好、运营好，逐步消除制约农村发展的交通瓶颈，为广大人民群众脱贫致富奔小康提供更好的保障。本项目大中修建设里程18.91公里。待项目实施完成，争取使项目区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376万元，预算执行率为100%，实际已完成大中修建设里程18.91公里。通过项目实施，加强二级公路养护运维、债务化解、安全保通的资金保障与风险防控能力，有效促进经济发展，使交通建设符合环评审批要求，受益群众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大中修养护里程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&gt;=18.91千米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=15.076千米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该项指标未完成，存在偏差，偏差率为20%，偏差原因为：我单位在前期设定目标值时，为充分考虑项目实际情况，设定的目标不合理，下一年度改进措施：结合实际能力，设定更为合理的目标值。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完工项目验收合格率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项目按计划开工率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项目按计划完工率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大中修养护工程成本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对经济发展起促进作用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交通建设符合环评审批要求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89.50分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吉木萨尔县农村公路路网核查工作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吉木萨尔县交通运输局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94.36%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本次路网核查2003公里，项目投资55万元。全面组织开展农村公路网核查，推动建立精准的农村公路基础数据库，为“十五五”农村公路规划建设提供有力数据支撑，确保全区农村公路实现质的有效提升，助力构建全区高质量综合立体运输网。待项目实施完成，争取使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51.9万元，预算执行率为94.36%，实际已完成路网核查2003公里。通过项目实施，推动建立精准的农村公路基础数据库，为“十五五”农村公路规划建设提供有力数据支撑，确保全区农村公路实现质的有效提升，助力构建全区高质量综合立体运输网，使受益群众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路网核查公里数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&gt;=2003公里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=2003公里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农村公路网优化方案编制通过率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路网核查优化方案编制按时完成率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路网核查报告编制询价费用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=94.63%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促进构建全区高质量综合立体运输网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交通项目符合环保审批要求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98.59分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吉木萨尔县农村公路隐患治理工程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吉木萨尔县交通运输局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吉木萨尔县交通运输局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83.41%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本次农村公路应急能力提升主要包括：路堑边坡安全隐患17处，路面水毁安全隐患2 处，路基边坡水毁塌陷安全隐患1处，桥梁病害修复15处。项目总投资900万元，全部为县财政资金。通过治理隐患，可以减少事故的发生，保护人民群众的生命财产安全。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750.7万元，资金执行率83.41%，实际完成路堑边坡安全隐患17处，路面水毁安全隐患2处，路基边坡水毁塌陷安全隐患1处，桥梁病害修复15处。通过项目的实施，加强了农村公路安全通行保障能力，提升了交通基础设施精细化管理，促进了农村路网结构持续优化，补齐农村交通基础设施短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治理隐患个数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工程按时完工率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项目按时开工率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隐患治理总投资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83.41%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此项指标未完成，存在偏差，偏差率为16.59%，偏差原因为：项目已完成，正在审计，根据审计结果支付剩余费用；下一年度改进措施：积极推挤审计结算。。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促进当地经济发展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交通建设符合环保审批要求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89.63分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治超非现场执法系统运维、场地租赁费用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吉木萨尔县交通运输局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治超非现场执法平台的建设将有效提高执法效率，降低执法成本，提高执法公正性，方便群众申诉，有利于加强执法监督。本项目包括场地租赁30万元，系统运维费用（一年）10万元。待项目实施完成，争取使受益群体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截止2025年12月31日，项目实际支出30万元，预算执行力为75%；通过本项目实施，治超非现场执法平台的建设将有效提高执法效率，降低执法成本，提高执法公正性，方便群众申诉，有利于加强执法监督。</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租赁场地面积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维护信息系统数量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建议科学测算，精准编制项目总预算。重点足额列支称重检测设备、抓拍系统、网络传输、土建施工、软件平台、检定校准等费用，确保建设标准不打折扣。</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治超非现场执法系统建设验收合格率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维护系统故障率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治超非现场执法系统建设按时完成率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系统运营维护响应时间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场地租赁费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治超非现场执法系统运维费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100，主要原因是因州级治超非现场执法系统未投入运行，我县非现场执法系统无法与州级平台联网，所以该系统2025年未投入运行，所以未产生运维费用，导致10万元的运维费未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信息系统利用率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100，主要原因是因州级治超非现场执法系统未投入运行，我县非现场执法系统无法与州级平台联网，所以该系统2025年未投入运行，所以未产生运维费用，导致10万元的运维费未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提高执法效率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受益群体满意度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86.19分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