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吉木萨尔县五彩湾镇卫生院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自五彩湾分院建成以来，一直秉承着公立医院姓“公”的性质，积极主动承担准东经济技术开发区社会公共卫生服务的义务，始终坚持生命至上、先抢救后付钱的原则，为12位准东开发区职工提供了免费救治，依托“互联网+远程诊疗”设立了“远程门诊”并开展“行走的医院”项目，将优质医疗资源送到基层民众身边，“远程门诊-行走的医院”健康180项目当前已经与解放军总医院（301医院）。</w:t>
      </w:r>
    </w:p>
    <w:p>
      <w:pPr>
        <w:spacing w:line="580" w:lineRule="exact"/>
        <w:ind w:firstLine="640"/>
        <w:jc w:val="both"/>
      </w:pPr>
      <w:r>
        <w:rPr>
          <w:rFonts w:ascii="仿宋_GB2312" w:hAnsi="仿宋_GB2312" w:eastAsia="仿宋_GB2312"/>
          <w:sz w:val="32"/>
        </w:rPr>
        <w:t>第一。</w:t>
      </w:r>
    </w:p>
    <w:p>
      <w:pPr>
        <w:spacing w:line="580" w:lineRule="exact"/>
        <w:ind w:firstLine="640"/>
        <w:jc w:val="both"/>
      </w:pPr>
      <w:r>
        <w:rPr>
          <w:rFonts w:ascii="仿宋_GB2312" w:hAnsi="仿宋_GB2312" w:eastAsia="仿宋_GB2312"/>
          <w:sz w:val="32"/>
        </w:rPr>
        <w:t>五。</w:t>
      </w:r>
    </w:p>
    <w:p>
      <w:pPr>
        <w:spacing w:line="580" w:lineRule="exact"/>
        <w:ind w:firstLine="640"/>
        <w:jc w:val="both"/>
      </w:pPr>
      <w:r>
        <w:rPr>
          <w:rFonts w:ascii="仿宋_GB2312" w:hAnsi="仿宋_GB2312" w:eastAsia="仿宋_GB2312"/>
          <w:sz w:val="32"/>
        </w:rPr>
        <w:t>六、七医学中心、北京安贞医院、宣武医院、唐都医院、西京医院等20家医院百余名专家团队建立了免费门诊联系，每周为我县免费提供近百个专家号，实现远程专家门诊看病，打通了为患者提供医疗服务的“最后一公里”。</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吉木萨尔县五彩湾镇卫生院无下属预算单位。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2025年度收入总计2,027.15万元，</w:t>
      </w:r>
      <w:r>
        <w:rPr>
          <w:rFonts w:ascii="仿宋_GB2312" w:hAnsi="仿宋_GB2312" w:eastAsia="仿宋_GB2312"/>
          <w:b w:val="0"/>
          <w:sz w:val="32"/>
        </w:rPr>
        <w:t>其中：本年收入合计2,027.15万元，使用非财政拨款结余（含专用结余）0.00万元，年初结转和结余0.00万元。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2025年度支出总计2,027.15万元，</w:t>
      </w:r>
      <w:r>
        <w:rPr>
          <w:rFonts w:ascii="仿宋_GB2312" w:hAnsi="仿宋_GB2312" w:eastAsia="仿宋_GB2312"/>
          <w:b w:val="0"/>
          <w:sz w:val="32"/>
        </w:rPr>
        <w:t>其中：本年支出合计2,012.79万元，结余分配14.36万元，年末结转和结余0.00万元。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增加2,027.15万元，增长100.00%，主要原因是：本单位为本年新增预算单位，无上年对比数据。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本年收入2,027.15万元，</w:t>
      </w:r>
      <w:r>
        <w:rPr>
          <w:rFonts w:ascii="仿宋_GB2312" w:hAnsi="仿宋_GB2312" w:eastAsia="仿宋_GB2312"/>
          <w:b w:val="0"/>
          <w:sz w:val="32"/>
        </w:rPr>
        <w:t>其中：财政拨款收入230.24万元，占11.36%；上级补助收入0.00万元，占0.00%；事业收入548.53万元，占27.06%；经营收入0.00万元，占0.00%；附属单位上缴收入0.00万元，占0.00%；其他收入1,248.39万元，占61.58%。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本年支出2,012.79万元，</w:t>
      </w:r>
      <w:r>
        <w:rPr>
          <w:rFonts w:ascii="仿宋_GB2312" w:hAnsi="仿宋_GB2312" w:eastAsia="仿宋_GB2312"/>
          <w:b w:val="0"/>
          <w:sz w:val="32"/>
        </w:rPr>
        <w:t>其中：基本支出1,970.37万元，占97.89%；项目支出42.42万元，占2.11%；上缴上级支出0.00万元，占0.00%；经营支出0.00万元，占0.00%；对附属单位补助支出0.00万元，占0.00%。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2025年度财政拨款收入总计230.24万元，</w:t>
      </w:r>
      <w:r>
        <w:rPr>
          <w:rFonts w:ascii="仿宋_GB2312" w:hAnsi="仿宋_GB2312" w:eastAsia="仿宋_GB2312"/>
          <w:b w:val="0"/>
          <w:sz w:val="32"/>
        </w:rPr>
        <w:t>其中：年初财政拨款结转和结余0.00万元，本年财政拨款收入230.24万元。</w:t>
      </w:r>
      <w:r>
        <w:rPr>
          <w:rFonts w:ascii="仿宋_GB2312" w:hAnsi="仿宋_GB2312" w:eastAsia="仿宋_GB2312"/>
          <w:b/>
          <w:sz w:val="32"/>
        </w:rPr>
        <w:t>财政拨款支出总计230.24万元，</w:t>
      </w:r>
      <w:r>
        <w:rPr>
          <w:rFonts w:ascii="仿宋_GB2312" w:hAnsi="仿宋_GB2312" w:eastAsia="仿宋_GB2312"/>
          <w:b w:val="0"/>
          <w:sz w:val="32"/>
        </w:rPr>
        <w:t>其中：年末财政拨款结转和结余0.00万元，本年财政拨款支出230.24万元。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增加230.24万元，增长100.00%，主要原因是：本单位为本年新增预算单位，无上年对比数据。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年初预算数203.22万元，决算数230.24万元，预决算差异率13.30%，主要原因是：年中追加人员工资、社保、公积金基数调增部分资金，导致预决算存在差异。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医疗卫生服务、公共卫生服务以及全民健康体检服务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按照支出功能分类，卫生健康支出（类）基层医疗卫生机构（款）乡镇卫生院（项）的支出占本年财政拨款支出总额的比重最高，2025年度决算数为138.04万元，占比59.95%，主要用于人员工资福利以及公用经费。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2025年度一般公共预算财政拨款支出230.24万元，</w:t>
      </w:r>
      <w:r>
        <w:rPr>
          <w:rFonts w:ascii="仿宋_GB2312" w:hAnsi="仿宋_GB2312" w:eastAsia="仿宋_GB2312"/>
          <w:b w:val="0"/>
          <w:sz w:val="32"/>
        </w:rPr>
        <w:t>占本年支出合计的11.44%。</w:t>
      </w:r>
      <w:r>
        <w:rPr>
          <w:rFonts w:ascii="仿宋_GB2312" w:hAnsi="仿宋_GB2312" w:eastAsia="仿宋_GB2312"/>
          <w:b/>
          <w:sz w:val="32"/>
        </w:rPr>
        <w:t>与上年相比，</w:t>
      </w:r>
      <w:r>
        <w:rPr>
          <w:rFonts w:ascii="仿宋_GB2312" w:hAnsi="仿宋_GB2312" w:eastAsia="仿宋_GB2312"/>
          <w:b w:val="0"/>
          <w:sz w:val="32"/>
        </w:rPr>
        <w:t>增加230.24万元，增长100.00%，主要原因是：本单位为本年新增预算单位，无上年对比数据。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年初预算数203.22万元，决算数230.24万元，预决算差异率13.30%，主要原因是：年中追加人员工资、社保、公积金基数调增部分资金，导致预决算存在差异。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1.社会保障和就业支出（类）24.27万元，占10.54%。</w:t>
      </w:r>
    </w:p>
    <w:p>
      <w:pPr>
        <w:spacing w:line="580" w:lineRule="exact"/>
        <w:ind w:firstLine="640"/>
        <w:jc w:val="both"/>
      </w:pPr>
      <w:r>
        <w:rPr>
          <w:rFonts w:ascii="仿宋_GB2312" w:hAnsi="仿宋_GB2312" w:eastAsia="仿宋_GB2312"/>
          <w:b w:val="0"/>
          <w:sz w:val="32"/>
        </w:rPr>
        <w:t>2.卫生健康支出（类）194.26万元，占84.37%。</w:t>
      </w:r>
    </w:p>
    <w:p>
      <w:pPr>
        <w:spacing w:line="580" w:lineRule="exact"/>
        <w:ind w:firstLine="640"/>
        <w:jc w:val="both"/>
      </w:pPr>
      <w:r>
        <w:rPr>
          <w:rFonts w:ascii="仿宋_GB2312" w:hAnsi="仿宋_GB2312" w:eastAsia="仿宋_GB2312"/>
          <w:b w:val="0"/>
          <w:sz w:val="32"/>
        </w:rPr>
        <w:t>3.住房保障支出（类）11.71万元，占5.09%。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16.37万元，比上年决算增加16.37万元，增长100.00%，主要原因是：本单位为本年新增预算单位，无上年对比数据。</w:t>
      </w:r>
    </w:p>
    <w:p>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7.90万元，比上年决算增加7.90万元，增长100.00%，主要原因是：本单位为本年新增预算单位，无上年对比数据。</w:t>
      </w:r>
    </w:p>
    <w:p>
      <w:pPr>
        <w:spacing w:line="580" w:lineRule="exact"/>
        <w:ind w:firstLine="640"/>
        <w:jc w:val="both"/>
      </w:pPr>
      <w:r>
        <w:rPr>
          <w:rFonts w:ascii="仿宋_GB2312" w:hAnsi="仿宋_GB2312" w:eastAsia="仿宋_GB2312"/>
          <w:b w:val="0"/>
          <w:sz w:val="32"/>
        </w:rPr>
        <w:t>3.卫生健康支出（类）基层医疗卫生机构（款）乡镇卫生院（项）：支出决算数为138.04万元，比上年决算增加138.04万元，增长100.00%，主要原因是：本单位为本年新增预算单位，无上年对比数据。</w:t>
      </w:r>
    </w:p>
    <w:p>
      <w:pPr>
        <w:spacing w:line="580" w:lineRule="exact"/>
        <w:ind w:firstLine="640"/>
        <w:jc w:val="both"/>
      </w:pPr>
      <w:r>
        <w:rPr>
          <w:rFonts w:ascii="仿宋_GB2312" w:hAnsi="仿宋_GB2312" w:eastAsia="仿宋_GB2312"/>
          <w:b w:val="0"/>
          <w:sz w:val="32"/>
        </w:rPr>
        <w:t>4.卫生健康支出（类）公共卫生（款）基本公共卫生服务（项）：支出决算数为40.38万元，比上年决算增加40.38万元，增长100.00%，主要原因是：本单位为本年新增预算单位，无上年对比数据。</w:t>
      </w:r>
    </w:p>
    <w:p>
      <w:pPr>
        <w:spacing w:line="580" w:lineRule="exact"/>
        <w:ind w:firstLine="640"/>
        <w:jc w:val="both"/>
      </w:pPr>
      <w:r>
        <w:rPr>
          <w:rFonts w:ascii="仿宋_GB2312" w:hAnsi="仿宋_GB2312" w:eastAsia="仿宋_GB2312"/>
          <w:b w:val="0"/>
          <w:sz w:val="32"/>
        </w:rPr>
        <w:t>5.卫生健康支出（类）公共卫生（款）其他公共卫生支出（项）：支出决算数为2.04万元，比上年决算增加2.04万元，增长100.00%，主要原因是：本单位为本年新增预算单位，无上年对比数据。</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6.卫生健康支出（类）行政事业单位医疗（款）事业单位医疗（项）：支出决算数为9.72万元，比上年决算增加9.72万元，增长100.00%，主要原因是：本单位为本年新增预算单位，无上年对比数据。</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7.卫生健康支出（类）行政事业单位医疗（款）公务员医疗补助（项）：支出决算数为4.09万元，比上年决算增加4.09万元，增长100.00%，主要原因是：本单位为本年新增预算单位，无上年对比数据。</w:t>
      </w:r>
    </w:p>
    <w:p>
      <w:pPr>
        <w:spacing w:line="580" w:lineRule="exact"/>
        <w:ind w:firstLine="640"/>
        <w:jc w:val="both"/>
      </w:pPr>
      <w:r>
        <w:rPr>
          <w:rFonts w:ascii="仿宋_GB2312" w:hAnsi="仿宋_GB2312" w:eastAsia="仿宋_GB2312"/>
          <w:b w:val="0"/>
          <w:sz w:val="32"/>
        </w:rPr>
        <w:t>8.住房保障支出（类）住房改革支出（款）住房公积金（项）：支出决算数为11.71万元，比上年决算增加11.71万元，增长100.00%，主要原因是：本单位为本年新增预算单位，无上年对比数据。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2025年度一般公共预算财政拨款基本支出187.82万元，其中：</w:t>
      </w:r>
      <w:r>
        <w:rPr>
          <w:rFonts w:ascii="仿宋_GB2312" w:hAnsi="仿宋_GB2312" w:eastAsia="仿宋_GB2312"/>
          <w:b/>
          <w:sz w:val="32"/>
        </w:rPr>
        <w:t>人员经费177.97万元，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包括：基本工资、津贴补贴、绩效工资、机关事业单位基本养老保险缴费、职业年金缴费、职工基本医疗保险缴费、公务员医疗补助缴费、其他社会保障缴费、住房公积金、其他工资福利支出。</w:t>
      </w:r>
    </w:p>
    <w:p>
      <w:pPr>
        <w:spacing w:line="580" w:lineRule="exact"/>
        <w:ind w:firstLine="640"/>
        <w:jc w:val="both"/>
      </w:pPr>
      <w:r>
        <w:rPr>
          <w:rFonts w:ascii="仿宋_GB2312" w:hAnsi="仿宋_GB2312" w:eastAsia="仿宋_GB2312"/>
          <w:b/>
          <w:sz w:val="32"/>
        </w:rPr>
        <w:t>公用经费9.86万元，</w:t>
      </w:r>
      <w:r>
        <w:rPr>
          <w:rFonts w:ascii="仿宋_GB2312" w:hAnsi="仿宋_GB2312" w:eastAsia="仿宋_GB2312"/>
          <w:b w:val="0"/>
          <w:sz w:val="32"/>
        </w:rPr>
        <w:t>包括：办公费、印刷费、水费、电费、维修（护）费、工会经费。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w:t>
      </w:r>
      <w:r>
        <w:rPr>
          <w:rFonts w:ascii="仿宋_GB2312" w:hAnsi="仿宋_GB2312" w:eastAsia="仿宋_GB2312"/>
          <w:b w:val="0"/>
          <w:sz w:val="32"/>
        </w:rPr>
        <w:t>其中：因公出国（境）费用支出0.00万元，占0.00%，比上年增加0.00万元，增长0.00%，主要原因是：2025年本单位无因公出国（境）费用支出。</w:t>
      </w:r>
      <w:r>
        <w:rPr>
          <w:rFonts w:ascii="仿宋_GB2312" w:hAnsi="仿宋_GB2312" w:eastAsia="仿宋_GB2312"/>
          <w:b w:val="0"/>
          <w:sz w:val="32"/>
        </w:rPr>
        <w:t>公务用车购置及运行维护费支出0.00万元，占0.00%，比上年增加0.00万元，增长0.00%，主要原因是：2025年本单位无公务用车购置及运行维护费支出。</w:t>
      </w:r>
      <w:r>
        <w:rPr>
          <w:rFonts w:ascii="仿宋_GB2312" w:hAnsi="仿宋_GB2312" w:eastAsia="仿宋_GB2312"/>
          <w:b w:val="0"/>
          <w:sz w:val="32"/>
        </w:rPr>
        <w:t>公务接待费支出0.00万元，占0.00%，比上年增加0.00万元，增长0.00%，主要原因是：2025年本单位无公务接待费支出。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2025年度吉木萨尔县五彩湾镇卫生院（事业单位）公用经费支出9.86万元，比上年增加9.86万元，增长100.00%，主要原因是：本单位为本年新增预算单位，无上年对比数据。</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2,027.15万元，实际执行总额2,012.79万元；预算绩效评价项目1个，全年预算数33.54万元，全年执行数33.54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吉木萨尔县五彩湾镇卫生院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33.54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169.68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1,019.02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1,019.02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965.71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965.71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951.35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2,337.86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4,054.30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4,025.58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2,337.86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4,054.30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4,025.58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健康讲座完成率达到90%，预防接种率达到90%，孕产妇系统管理率达到90%，医疗收入增长率达到5%，基本药物储备种类达到187种，医疗服务率达到90%，受益总诊疗人次达到22000人，受益居民满意度达到90%。树立医院良好形象，满足群众基本医疗卫生服务需求。通过实施基本公共卫生服务慢性病管理项目，对辖区居民的慢性病及相关危险因素实施干预措施，减少主要健康危险因素，有效预防和控制高血压、糖尿病等慢性病。依据居民需求、季节多发病安排讲座内容，按照季节变化增加手足口、流感等流行性传染病的内容。免费向辖区孕产妇提供基本保健服务，规范孕产妇保健，做好早孕建册、产前检查和产后访视工作，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2027.15万元，全年执行数为2012.79万元，预算执行率为99.29%，主要完成以下内容：保障了在编人员13人、同工同酬38人的工资社保、人员经费保障率达到100%，工资发放及时率达到100%，职工满意度达到95%，年门急诊就诊人次27786人。</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健康讲座完成率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预防接种率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孕产妇系统管理率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基本药物储备种类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&gt;=187种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=187种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医疗服务率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受益总诊疗人次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&gt;=22000人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=22786人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受益居民满意度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吉木萨尔县五彩湾镇卫生院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免费向城乡居民提供基本公共卫生服务。项目总投资33.54万元，项目计划于2025年12月10日前完成。免费向辖区居民提供基本公共卫生服务。全区所有县（市、区）内常住人口，均可免费享受国家基本公共卫生服务规范（第三版）所列的基本公共卫生服务。糖尿病患者规范管理人数达到5人，高血压患者规范管理数达到5人，家庭医生签约常住人口签约数达到1700人，居民规范化电子档案覆盖人次达到1700人适龄儿童国家免疫规划疫苗接种率达到90%，孕产妇系统管理率达到90%，基本公共卫生服务水平不断提高，待项目实施完成，争取使受益居民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33.54万元，资金执行率100%，本项目实际完成糖尿病患者管理18人次，高血压患者管理30人次，累计服务192名儿童，孕产妇管理165人次，累计居民建档4251人次，通过本项目的实施，加强了公共卫生服务体系与硬件能力、重点人群健康管理、基层医院协同与服务规范化，加强服务队伍与保障；提升了服务质量与管理水平、基层机构服务能力与效率、居民健康素养与健康意识以及提升基层公共服务满意度、信任度；促进了基层医疗卫生体系健康发展，促进了“预防为主、防治结合”模式落地。</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糖尿病患者规范管理人数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260%，偏差原因是一是重点人群健康管理不够精准，老年人、慢性病患者、孕产妇等人群随访流于形式，随访数据真实性、完整性不足，健康档案动态更新不及时，存在大量闲置档案；二是服务覆盖面存在短板，部分偏远村组、流动人群服务难以全覆盖，健康体检、疫苗接种等基础服务可及性不高；三是服务形式较为单一，健康教育、健康干预多以传统宣讲为主，针对性、实用性不强，难以满足居民多元化健康需求。四是公共卫生专业人员配备不足，身兼数职、一人多岗现象普遍，专职公卫人员缺口较大，难以保障各项服务高效开展；</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高血压患者规范管理数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500%，偏差原因是一是重点人群健康管理不够精准，老年人、慢性病患者、孕产妇等人群随访流于形式，随访数据真实性、完整性不足，健康档案动态更新不及时，存在大量闲置档案；二是服务覆盖面存在短板，部分偏远村组、流动人群服务难以全覆盖，健康体检、疫苗接种等基础服务可及性不高；三是服务形式较为单一，健康教育、健康干预多以传统宣讲为主，针对性、实用性不强，难以满足居民多元化健康需求。四是公共卫生专业人员配备不足，身兼数职、一人多岗现象普遍，专职公卫人员缺口较大，难以保障各项服务高效开展；</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家庭医生签约常住人口签约数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150.05%，偏差原因是一是重点人群健康管理不够精准，老年人、慢性病患者、孕产妇等人群随访流于形式，随访数据真实性、完整性不足，健康档案动态更新不及时，存在大量闲置档案；二是服务覆盖面存在短板，部分偏远村组、流动人群服务难以全覆盖，健康体检、疫苗接种等基础服务可及性不高；三是服务形式较为单一，健康教育、健康干预多以传统宣讲为主，针对性、实用性不强，难以满足居民多元化健康需求。四是公共卫生专业人员配备不足，身兼数职、一人多岗现象普遍，专职公卫人员缺口较大，难以保障各项服务高效开展；</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居民规范化电子档案覆盖人次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150.05%，偏差原因是一是重点人群健康管理不够精准，老年人、慢性病患者、孕产妇等人群随访流于形式，随访数据真实性、完整性不足，健康档案动态更新不及时，存在大量闲置档案；二是服务覆盖面存在短板，部分偏远村组、流动人群服务难以全覆盖，健康体检、疫苗接种等基础服务可及性不高；三是服务形式较为单一，健康教育、健康干预多以传统宣讲为主，针对性、实用性不强，难以满足居民多元化健康需求。四是公共卫生专业人员配备不足，身兼数职、一人多岗现象普遍，专职公卫人员缺口较大，难以保障各项服务高效开展；</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儿童健康管理率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孕产妇系统管理率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进一步提升基本公共服务能力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该项指标未完成，存在偏差，偏差率为8.87%，偏差原因为：我单位在前期设定目标值时，出于底线思维，设定的目标较为保守，下一年度改进措施：结合实际能力，设定更为合理的目标值。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本单位2025年度无政府采购支出。</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