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DE1098">
      <w:pPr>
        <w:rPr>
          <w:rFonts w:hint="eastAsia" w:ascii="黑体" w:hAnsi="黑体" w:eastAsia="黑体"/>
          <w:sz w:val="32"/>
          <w:szCs w:val="32"/>
        </w:rPr>
      </w:pPr>
    </w:p>
    <w:p w14:paraId="7E2F62AB">
      <w:pPr>
        <w:jc w:val="center"/>
        <w:rPr>
          <w:rFonts w:hint="eastAsia" w:ascii="方正小标宋_GBK" w:hAnsi="宋体" w:eastAsia="方正小标宋_GBK"/>
          <w:sz w:val="44"/>
          <w:szCs w:val="44"/>
        </w:rPr>
      </w:pPr>
    </w:p>
    <w:p w14:paraId="7AE936F3">
      <w:pPr>
        <w:jc w:val="center"/>
        <w:rPr>
          <w:rFonts w:hint="eastAsia" w:ascii="方正小标宋_GBK" w:hAnsi="宋体" w:eastAsia="方正小标宋_GBK"/>
          <w:sz w:val="44"/>
          <w:szCs w:val="44"/>
        </w:rPr>
      </w:pPr>
    </w:p>
    <w:p w14:paraId="5FEDF9CB">
      <w:pPr>
        <w:jc w:val="center"/>
        <w:rPr>
          <w:rFonts w:hint="eastAsia" w:ascii="方正小标宋_GBK" w:hAnsi="宋体" w:eastAsia="方正小标宋_GBK"/>
          <w:sz w:val="44"/>
          <w:szCs w:val="44"/>
        </w:rPr>
      </w:pPr>
    </w:p>
    <w:p w14:paraId="4794C1C7">
      <w:pPr>
        <w:jc w:val="center"/>
        <w:rPr>
          <w:rFonts w:hint="eastAsia" w:ascii="方正小标宋_GBK" w:hAnsi="宋体" w:eastAsia="方正小标宋_GBK"/>
          <w:sz w:val="44"/>
          <w:szCs w:val="44"/>
        </w:rPr>
      </w:pPr>
    </w:p>
    <w:p w14:paraId="2FB3E0A1">
      <w:pPr>
        <w:spacing w:line="640" w:lineRule="exact"/>
        <w:jc w:val="center"/>
        <w:rPr>
          <w:rFonts w:hint="eastAsia" w:ascii="方正小标宋_GBK" w:hAnsi="宋体" w:eastAsia="方正小标宋_GBK"/>
          <w:sz w:val="44"/>
          <w:szCs w:val="44"/>
        </w:rPr>
      </w:pPr>
      <w:r>
        <w:rPr>
          <w:rFonts w:hint="eastAsia" w:ascii="方正小标宋_GBK" w:hAnsi="宋体" w:eastAsia="方正小标宋_GBK"/>
          <w:sz w:val="44"/>
          <w:szCs w:val="44"/>
        </w:rPr>
        <w:t>吉木萨尔县五彩湾镇人民政府</w:t>
      </w:r>
    </w:p>
    <w:p w14:paraId="55AD8026">
      <w:pPr>
        <w:spacing w:line="640" w:lineRule="exact"/>
        <w:jc w:val="center"/>
        <w:rPr>
          <w:rFonts w:hint="eastAsia" w:ascii="方正小标宋_GBK" w:hAnsi="宋体" w:eastAsia="方正小标宋_GBK"/>
          <w:sz w:val="44"/>
          <w:szCs w:val="44"/>
        </w:rPr>
      </w:pPr>
      <w:r>
        <w:rPr>
          <w:rFonts w:hint="eastAsia" w:ascii="方正小标宋_GBK" w:hAnsi="宋体" w:eastAsia="方正小标宋_GBK"/>
          <w:sz w:val="44"/>
          <w:szCs w:val="44"/>
        </w:rPr>
        <w:t>2025年度部门决算公开说明</w:t>
      </w:r>
      <w:bookmarkStart w:id="0" w:name="_GoBack"/>
      <w:bookmarkEnd w:id="0"/>
      <w:r>
        <w:rPr>
          <w:rFonts w:hint="eastAsia" w:ascii="方正小标宋_GBK" w:hAnsi="宋体" w:eastAsia="方正小标宋_GBK"/>
          <w:sz w:val="44"/>
          <w:szCs w:val="44"/>
        </w:rPr>
        <w:t/>
      </w:r>
    </w:p>
    <w:p w14:paraId="7C1A23FE">
      <w:pPr>
        <w:spacing w:line="600" w:lineRule="exact"/>
        <w:jc w:val="center"/>
        <w:rPr>
          <w:rFonts w:hint="eastAsia" w:ascii="仿宋_GB2312" w:hAnsi="仿宋_GB2312" w:eastAsia="仿宋_GB2312" w:cs="仿宋_GB2312"/>
          <w:bCs/>
          <w:kern w:val="0"/>
          <w:sz w:val="32"/>
          <w:szCs w:val="32"/>
        </w:rPr>
      </w:pPr>
      <w:r>
        <w:rPr>
          <w:rFonts w:hint="eastAsia" w:ascii="方正小标宋_GBK" w:hAnsi="宋体" w:eastAsia="方正小标宋_GBK"/>
          <w:sz w:val="44"/>
          <w:szCs w:val="44"/>
        </w:rPr>
        <w:br w:type="page"/>
      </w:r>
      <w:r>
        <w:rPr>
          <w:rFonts w:hint="eastAsia" w:ascii="仿宋_GB2312" w:hAnsi="仿宋_GB2312" w:eastAsia="仿宋_GB2312" w:cs="仿宋_GB2312"/>
          <w:b/>
          <w:kern w:val="0"/>
          <w:sz w:val="36"/>
          <w:szCs w:val="36"/>
        </w:rPr>
        <w:t>目  录</w:t>
      </w:r>
    </w:p>
    <w:p w14:paraId="11E3C096">
      <w:pPr>
        <w:pStyle w:val="6"/>
        <w:tabs>
          <w:tab w:val="right" w:leader="dot" w:pos="8306"/>
        </w:tabs>
        <w:spacing w:line="60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"_Toc31918"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14:paraId="695FF0F6">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"_Toc2898"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14:paraId="20AC0F98">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"_Toc1387" </w:instrText>
      </w:r>
      <w:r>
        <w:fldChar w:fldCharType="separate"/>
      </w:r>
      <w:r>
        <w:rPr>
          <w:rFonts w:hint="eastAsia" w:ascii="仿宋_GB2312" w:hAnsi="仿宋_GB2312" w:eastAsia="仿宋_GB2312" w:cs="仿宋_GB2312"/>
          <w:bCs/>
          <w:kern w:val="0"/>
          <w:sz w:val="32"/>
          <w:szCs w:val="32"/>
        </w:rPr>
        <w:t>二、机构设置</w:t>
      </w:r>
      <w:r>
        <w:rPr>
          <w:rFonts w:hint="eastAsia" w:ascii="仿宋_GB2312" w:hAnsi="仿宋_GB2312" w:eastAsia="仿宋_GB2312" w:cs="仿宋_GB2312"/>
          <w:bCs/>
          <w:kern w:val="0"/>
          <w:sz w:val="32"/>
          <w:szCs w:val="32"/>
        </w:rPr>
        <w:fldChar w:fldCharType="end"/>
      </w:r>
    </w:p>
    <w:p w14:paraId="03DF0839">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"_Toc7559"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14:paraId="1E4B298F">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"_Toc6321"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14:paraId="448604E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"_Toc6311"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14:paraId="6477D7D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"_Toc20629"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14:paraId="64A0CBA4">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"_Toc7371"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14:paraId="07B13FA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"_Toc18905"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14:paraId="35E4954F">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"_Toc1165" </w:instrText>
      </w:r>
      <w:r>
        <w:fldChar w:fldCharType="separate"/>
      </w:r>
      <w:r>
        <w:rPr>
          <w:rFonts w:hint="eastAsia" w:ascii="仿宋_GB2312" w:hAnsi="仿宋_GB2312" w:eastAsia="仿宋_GB2312" w:cs="仿宋_GB2312"/>
          <w:sz w:val="32"/>
          <w:szCs w:val="32"/>
        </w:rPr>
        <w:t>（一）一般公共预算财政拨款支出决算总体情况</w:t>
      </w:r>
      <w:r>
        <w:rPr>
          <w:rFonts w:hint="eastAsia" w:ascii="仿宋_GB2312" w:hAnsi="仿宋_GB2312" w:eastAsia="仿宋_GB2312" w:cs="仿宋_GB2312"/>
          <w:sz w:val="32"/>
          <w:szCs w:val="32"/>
        </w:rPr>
        <w:fldChar w:fldCharType="end"/>
      </w:r>
    </w:p>
    <w:p w14:paraId="1D40B9CA">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"_Toc27147" </w:instrText>
      </w:r>
      <w:r>
        <w:fldChar w:fldCharType="separate"/>
      </w:r>
      <w:r>
        <w:rPr>
          <w:rFonts w:hint="eastAsia" w:ascii="仿宋_GB2312" w:hAnsi="仿宋_GB2312" w:eastAsia="仿宋_GB2312" w:cs="仿宋_GB2312"/>
          <w:sz w:val="32"/>
          <w:szCs w:val="32"/>
        </w:rPr>
        <w:t>（二）一般公共预算财政拨款支出决算结构情况</w:t>
      </w:r>
      <w:r>
        <w:rPr>
          <w:rFonts w:hint="eastAsia" w:ascii="仿宋_GB2312" w:hAnsi="仿宋_GB2312" w:eastAsia="仿宋_GB2312" w:cs="仿宋_GB2312"/>
          <w:sz w:val="32"/>
          <w:szCs w:val="32"/>
        </w:rPr>
        <w:fldChar w:fldCharType="end"/>
      </w:r>
    </w:p>
    <w:p w14:paraId="572435CD">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"_Toc10037" </w:instrText>
      </w:r>
      <w:r>
        <w:fldChar w:fldCharType="separate"/>
      </w:r>
      <w:r>
        <w:rPr>
          <w:rFonts w:hint="eastAsia" w:ascii="仿宋_GB2312" w:hAnsi="仿宋_GB2312" w:eastAsia="仿宋_GB2312" w:cs="仿宋_GB2312"/>
          <w:sz w:val="32"/>
          <w:szCs w:val="32"/>
        </w:rPr>
        <w:t>（三）一般公共预算财政拨款支出决算具体情况</w:t>
      </w:r>
      <w:r>
        <w:rPr>
          <w:rFonts w:hint="eastAsia" w:ascii="仿宋_GB2312" w:hAnsi="仿宋_GB2312" w:eastAsia="仿宋_GB2312" w:cs="仿宋_GB2312"/>
          <w:sz w:val="32"/>
          <w:szCs w:val="32"/>
        </w:rPr>
        <w:fldChar w:fldCharType="end"/>
      </w:r>
    </w:p>
    <w:p w14:paraId="2330D4E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"_Toc23415"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14:paraId="2363D305">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"_Toc7523" </w:instrText>
      </w:r>
      <w:r>
        <w:fldChar w:fldCharType="separate"/>
      </w:r>
      <w:r>
        <w:rPr>
          <w:rFonts w:hint="eastAsia" w:ascii="仿宋_GB2312" w:hAnsi="仿宋_GB2312" w:eastAsia="仿宋_GB2312" w:cs="仿宋_GB2312"/>
          <w:bCs/>
          <w:kern w:val="0"/>
          <w:sz w:val="32"/>
          <w:szCs w:val="32"/>
        </w:rPr>
        <w:t>七、政府性基金预算财政拨款收入支出决算情况说明</w:t>
      </w:r>
      <w:r>
        <w:rPr>
          <w:rFonts w:hint="eastAsia" w:ascii="仿宋_GB2312" w:hAnsi="仿宋_GB2312" w:eastAsia="仿宋_GB2312" w:cs="仿宋_GB2312"/>
          <w:bCs/>
          <w:kern w:val="0"/>
          <w:sz w:val="32"/>
          <w:szCs w:val="32"/>
        </w:rPr>
        <w:fldChar w:fldCharType="end"/>
      </w:r>
    </w:p>
    <w:p w14:paraId="47A33664">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"_Toc5563" </w:instrText>
      </w:r>
      <w:r>
        <w:fldChar w:fldCharType="separate"/>
      </w:r>
      <w:r>
        <w:rPr>
          <w:rFonts w:hint="eastAsia" w:ascii="仿宋_GB2312" w:hAnsi="仿宋_GB2312" w:eastAsia="仿宋_GB2312" w:cs="仿宋_GB2312"/>
          <w:bCs/>
          <w:kern w:val="0"/>
          <w:sz w:val="32"/>
          <w:szCs w:val="32"/>
        </w:rPr>
        <w:t>八、国有资本经营预算财政拨款收入支出决算情况说明</w:t>
      </w:r>
      <w:r>
        <w:rPr>
          <w:rFonts w:hint="eastAsia" w:ascii="仿宋_GB2312" w:hAnsi="仿宋_GB2312" w:eastAsia="仿宋_GB2312" w:cs="仿宋_GB2312"/>
          <w:bCs/>
          <w:kern w:val="0"/>
          <w:sz w:val="32"/>
          <w:szCs w:val="32"/>
        </w:rPr>
        <w:fldChar w:fldCharType="end"/>
      </w:r>
    </w:p>
    <w:p w14:paraId="5B6A706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"_Toc9161" </w:instrText>
      </w:r>
      <w:r>
        <w:fldChar w:fldCharType="separate"/>
      </w:r>
      <w:r>
        <w:rPr>
          <w:rFonts w:hint="eastAsia" w:ascii="仿宋_GB2312" w:hAnsi="仿宋_GB2312" w:eastAsia="仿宋_GB2312" w:cs="仿宋_GB2312"/>
          <w:bCs/>
          <w:kern w:val="0"/>
          <w:sz w:val="32"/>
          <w:szCs w:val="32"/>
        </w:rPr>
        <w:t>九、财政拨款“三公”经费支出决算情况说明</w:t>
      </w:r>
      <w:r>
        <w:rPr>
          <w:rFonts w:hint="eastAsia" w:ascii="仿宋_GB2312" w:hAnsi="仿宋_GB2312" w:eastAsia="仿宋_GB2312" w:cs="仿宋_GB2312"/>
          <w:bCs/>
          <w:kern w:val="0"/>
          <w:sz w:val="32"/>
          <w:szCs w:val="32"/>
        </w:rPr>
        <w:fldChar w:fldCharType="end"/>
      </w:r>
    </w:p>
    <w:p w14:paraId="1D67ADC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"_Toc16395" </w:instrText>
      </w:r>
      <w:r>
        <w:fldChar w:fldCharType="separate"/>
      </w:r>
      <w:r>
        <w:rPr>
          <w:rFonts w:hint="eastAsia" w:ascii="仿宋_GB2312" w:hAnsi="仿宋_GB2312" w:eastAsia="仿宋_GB2312" w:cs="仿宋_GB2312"/>
          <w:bCs/>
          <w:kern w:val="0"/>
          <w:sz w:val="32"/>
          <w:szCs w:val="32"/>
        </w:rPr>
        <w:t>十、其他重要事项的情况说明</w:t>
      </w:r>
      <w:r>
        <w:rPr>
          <w:rFonts w:hint="eastAsia" w:ascii="仿宋_GB2312" w:hAnsi="仿宋_GB2312" w:eastAsia="仿宋_GB2312" w:cs="仿宋_GB2312"/>
          <w:bCs/>
          <w:kern w:val="0"/>
          <w:sz w:val="32"/>
          <w:szCs w:val="32"/>
        </w:rPr>
        <w:fldChar w:fldCharType="end"/>
      </w:r>
    </w:p>
    <w:p w14:paraId="2D81D31B">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"_Toc21748" </w:instrText>
      </w:r>
      <w:r>
        <w:fldChar w:fldCharType="separate"/>
      </w:r>
      <w:r>
        <w:rPr>
          <w:rFonts w:hint="eastAsia" w:ascii="仿宋_GB2312" w:hAnsi="仿宋_GB2312" w:eastAsia="仿宋_GB2312" w:cs="仿宋_GB2312"/>
          <w:sz w:val="32"/>
          <w:szCs w:val="32"/>
        </w:rPr>
        <w:t>（一）机关运行经费及公用经费支出情况</w:t>
      </w:r>
      <w:r>
        <w:rPr>
          <w:rFonts w:hint="eastAsia" w:ascii="仿宋_GB2312" w:hAnsi="仿宋_GB2312" w:eastAsia="仿宋_GB2312" w:cs="仿宋_GB2312"/>
          <w:sz w:val="32"/>
          <w:szCs w:val="32"/>
        </w:rPr>
        <w:fldChar w:fldCharType="end"/>
      </w:r>
    </w:p>
    <w:p w14:paraId="688C6E4D">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"_Toc25177"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14:paraId="6E70625A">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"_Toc31294"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14:paraId="687A037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"_Toc17664"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14:paraId="2BE4C8B9">
      <w:pPr>
        <w:spacing w:line="600" w:lineRule="exact"/>
        <w:rPr>
          <w:rFonts w:eastAsia="仿宋_GB2312"/>
        </w:rPr>
      </w:pPr>
      <w:r>
        <w:rPr>
          <w:rFonts w:hint="eastAsia" w:ascii="仿宋_GB2312" w:hAnsi="仿宋_GB2312" w:eastAsia="仿宋_GB2312" w:cs="仿宋_GB2312"/>
          <w:sz w:val="32"/>
          <w:szCs w:val="32"/>
        </w:rPr>
        <w:t>十二、</w:t>
      </w:r>
      <w:r>
        <w:rPr>
          <w:rFonts w:ascii="仿宋_GB2312" w:hAnsi="仿宋_GB2312" w:eastAsia="仿宋_GB2312" w:cs="仿宋_GB2312"/>
          <w:sz w:val="32"/>
          <w:szCs w:val="32"/>
        </w:rPr>
        <w:t>其他需说明的事项</w:t>
      </w:r>
    </w:p>
    <w:p w14:paraId="02F533C8">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"_Toc30038"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14:paraId="13D03994">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"_Toc6831"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14:paraId="363DA5E8">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"_Toc3845"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14:paraId="7612762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"_Toc11927"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14:paraId="3D4C3500">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"_Toc7443"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14:paraId="2F9A11B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"_Toc24884"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14:paraId="44A5CB8E">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"_Toc16518"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14:paraId="277EE406">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"_Toc20514"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14:paraId="49FE8110">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"_Toc18055" </w:instrText>
      </w:r>
      <w:r>
        <w:fldChar w:fldCharType="separate"/>
      </w:r>
      <w:r>
        <w:rPr>
          <w:rFonts w:hint="eastAsia" w:ascii="仿宋_GB2312" w:hAnsi="仿宋_GB2312" w:eastAsia="仿宋_GB2312" w:cs="仿宋_GB2312"/>
          <w:bCs/>
          <w:kern w:val="0"/>
          <w:sz w:val="32"/>
          <w:szCs w:val="32"/>
        </w:rPr>
        <w:t>七、《政府性基金预算财政拨款收入支出决算表》</w:t>
      </w:r>
      <w:r>
        <w:rPr>
          <w:rFonts w:hint="eastAsia" w:ascii="仿宋_GB2312" w:hAnsi="仿宋_GB2312" w:eastAsia="仿宋_GB2312" w:cs="仿宋_GB2312"/>
          <w:bCs/>
          <w:kern w:val="0"/>
          <w:sz w:val="32"/>
          <w:szCs w:val="32"/>
        </w:rPr>
        <w:fldChar w:fldCharType="end"/>
      </w:r>
    </w:p>
    <w:p w14:paraId="43AA1635">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"_Toc10719" </w:instrText>
      </w:r>
      <w:r>
        <w:fldChar w:fldCharType="separate"/>
      </w:r>
      <w:r>
        <w:rPr>
          <w:rFonts w:hint="eastAsia" w:ascii="仿宋_GB2312" w:hAnsi="仿宋_GB2312" w:eastAsia="仿宋_GB2312" w:cs="仿宋_GB2312"/>
          <w:bCs/>
          <w:kern w:val="0"/>
          <w:sz w:val="32"/>
          <w:szCs w:val="32"/>
        </w:rPr>
        <w:t>八、《国有资本经营预算财政拨款收入支出决算表》</w:t>
      </w:r>
      <w:r>
        <w:rPr>
          <w:rFonts w:hint="eastAsia" w:ascii="仿宋_GB2312" w:hAnsi="仿宋_GB2312" w:eastAsia="仿宋_GB2312" w:cs="仿宋_GB2312"/>
          <w:bCs/>
          <w:kern w:val="0"/>
          <w:sz w:val="32"/>
          <w:szCs w:val="32"/>
        </w:rPr>
        <w:fldChar w:fldCharType="end"/>
      </w:r>
    </w:p>
    <w:p w14:paraId="5D4DF260">
      <w:pPr>
        <w:pStyle w:val="7"/>
        <w:tabs>
          <w:tab w:val="right" w:leader="dot" w:pos="8306"/>
        </w:tabs>
        <w:spacing w:line="600" w:lineRule="exact"/>
        <w:ind w:left="0" w:leftChars="0"/>
        <w:rPr>
          <w:rFonts w:hint="eastAsia" w:ascii="黑体" w:hAnsi="黑体" w:eastAsia="黑体" w:cs="宋体"/>
          <w:bCs/>
          <w:kern w:val="0"/>
          <w:sz w:val="32"/>
          <w:szCs w:val="32"/>
        </w:rPr>
      </w:pPr>
      <w:r>
        <w:fldChar w:fldCharType="begin"/>
      </w:r>
      <w:r>
        <w:instrText xml:space="preserve"> HYPERLINK \l "_Toc18861" </w:instrText>
      </w:r>
      <w:r>
        <w:fldChar w:fldCharType="separate"/>
      </w:r>
      <w:r>
        <w:rPr>
          <w:rFonts w:hint="eastAsia" w:ascii="仿宋_GB2312" w:hAnsi="仿宋_GB2312" w:eastAsia="仿宋_GB2312" w:cs="仿宋_GB2312"/>
          <w:bCs/>
          <w:kern w:val="0"/>
          <w:sz w:val="32"/>
          <w:szCs w:val="32"/>
        </w:rPr>
        <w:t>九、《财政拨款“三公”经费支出决算表》</w:t>
      </w:r>
      <w:r>
        <w:rPr>
          <w:rFonts w:hint="eastAsia" w:ascii="仿宋_GB2312" w:hAnsi="仿宋_GB2312" w:eastAsia="仿宋_GB2312" w:cs="仿宋_GB2312"/>
          <w:bCs/>
          <w:kern w:val="0"/>
          <w:sz w:val="32"/>
          <w:szCs w:val="32"/>
        </w:rPr>
        <w:fldChar w:fldCharType="end"/>
      </w:r>
      <w:r>
        <w:rPr>
          <w:rFonts w:hint="eastAsia" w:ascii="仿宋_GB2312" w:hAnsi="仿宋_GB2312" w:eastAsia="仿宋_GB2312" w:cs="仿宋_GB2312"/>
          <w:sz w:val="32"/>
          <w:szCs w:val="32"/>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（一）贯彻执行党的路线、方针、政策和国家法律法规，执行上级党委、政府和本级党委的决定、命令，执行本级党员代表大会、人民代表大会的决议。</w:t>
      </w:r>
    </w:p>
    <w:p>
      <w:pPr>
        <w:spacing w:line="580" w:lineRule="exact"/>
        <w:ind w:firstLine="640"/>
        <w:jc w:val="both"/>
      </w:pPr>
      <w:r>
        <w:rPr>
          <w:rFonts w:ascii="仿宋_GB2312" w:hAnsi="仿宋_GB2312" w:eastAsia="仿宋_GB2312"/>
          <w:sz w:val="32"/>
        </w:rPr>
        <w:t>（二）对镇人民代表大会及其主席团和上级行政机关负责并报告工作。</w:t>
      </w:r>
    </w:p>
    <w:p>
      <w:pPr>
        <w:spacing w:line="580" w:lineRule="exact"/>
        <w:ind w:firstLine="640"/>
        <w:jc w:val="both"/>
      </w:pPr>
      <w:r>
        <w:rPr>
          <w:rFonts w:ascii="仿宋_GB2312" w:hAnsi="仿宋_GB2312" w:eastAsia="仿宋_GB2312"/>
          <w:sz w:val="32"/>
        </w:rPr>
        <w:t>（三）编制和执行五彩湾镇的社会发展规划、计划并执行财政预算。</w:t>
      </w:r>
    </w:p>
    <w:p>
      <w:pPr>
        <w:spacing w:line="580" w:lineRule="exact"/>
        <w:ind w:firstLine="640"/>
        <w:jc w:val="both"/>
      </w:pPr>
      <w:r>
        <w:rPr>
          <w:rFonts w:ascii="仿宋_GB2312" w:hAnsi="仿宋_GB2312" w:eastAsia="仿宋_GB2312"/>
          <w:sz w:val="32"/>
        </w:rPr>
        <w:t>（四）负责本行政区域内的公安、财政、统计、民政、司法行政、民族宗教、信访、安全生产、教育、科技、文化、卫生健康、体育、广播电视、劳动就业、社会保障、医疗保障、社会救助、林业和草原、退役军人、环境卫生、残疾人事业等工作。</w:t>
      </w:r>
    </w:p>
    <w:p>
      <w:pPr>
        <w:spacing w:line="580" w:lineRule="exact"/>
        <w:ind w:firstLine="640"/>
        <w:jc w:val="both"/>
      </w:pPr>
      <w:r>
        <w:rPr>
          <w:rFonts w:ascii="仿宋_GB2312" w:hAnsi="仿宋_GB2312" w:eastAsia="仿宋_GB2312"/>
          <w:sz w:val="32"/>
        </w:rPr>
        <w:t>（五）指导、支持和帮助社区居民委员会工作。</w:t>
      </w:r>
    </w:p>
    <w:p>
      <w:pPr>
        <w:spacing w:line="580" w:lineRule="exact"/>
        <w:ind w:firstLine="640"/>
        <w:jc w:val="both"/>
      </w:pPr>
      <w:r>
        <w:rPr>
          <w:rFonts w:ascii="仿宋_GB2312" w:hAnsi="仿宋_GB2312" w:eastAsia="仿宋_GB2312"/>
          <w:sz w:val="32"/>
        </w:rPr>
        <w:t>（六）完成法律、法规、规章规定和上级交办的其他任务。</w:t>
      </w:r>
    </w:p>
    <w:p>
      <w:pPr>
        <w:spacing w:line="640" w:lineRule="exact"/>
        <w:ind w:firstLine="640"/>
        <w:jc w:val="both"/>
        <w:outlineLvl w:val="2"/>
      </w:pPr>
      <w:r>
        <w:rPr>
          <w:rFonts w:ascii="黑体" w:hAnsi="黑体" w:eastAsia="黑体"/>
          <w:sz w:val="32"/>
        </w:rPr>
        <w:t>二、机构设置</w:t>
      </w:r>
    </w:p>
    <w:p>
      <w:pPr>
        <w:spacing w:line="580" w:lineRule="exact"/>
        <w:ind w:firstLine="640"/>
        <w:jc w:val="both"/>
      </w:pPr>
      <w:r>
        <w:rPr>
          <w:rFonts w:ascii="仿宋_GB2312" w:hAnsi="仿宋_GB2312" w:eastAsia="仿宋_GB2312"/>
          <w:sz w:val="32"/>
        </w:rPr>
        <w:t>吉木萨尔县五彩湾镇人民政府无下属预算单位。</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2025年度收入总计6,335.03万元，</w:t>
      </w:r>
      <w:r>
        <w:rPr>
          <w:rFonts w:ascii="仿宋_GB2312" w:hAnsi="仿宋_GB2312" w:eastAsia="仿宋_GB2312"/>
          <w:b w:val="0"/>
          <w:sz w:val="32"/>
        </w:rPr>
        <w:t>其中：本年收入合计6,335.03万元，使用非财政拨款结余（含专用结余）0.00万元，年初结转和结余0.00万元。</w:t>
      </w:r>
    </w:p>
    <w:p>
      <w:pPr>
        <w:spacing w:line="580" w:lineRule="exact"/>
        <w:ind w:firstLine="640"/>
        <w:jc w:val="both"/>
      </w:pPr>
      <w:r>
        <w:rPr>
          <w:rFonts w:ascii="仿宋_GB2312" w:hAnsi="仿宋_GB2312" w:eastAsia="仿宋_GB2312"/>
          <w:b/>
          <w:sz w:val="32"/>
        </w:rPr>
        <w:t>2025年度支出总计6,335.03万元，</w:t>
      </w:r>
      <w:r>
        <w:rPr>
          <w:rFonts w:ascii="仿宋_GB2312" w:hAnsi="仿宋_GB2312" w:eastAsia="仿宋_GB2312"/>
          <w:b w:val="0"/>
          <w:sz w:val="32"/>
        </w:rPr>
        <w:t>其中：本年支出合计6,335.03万元，结余分配0.00万元，年末结转和结余0.00万元。</w:t>
      </w:r>
    </w:p>
    <w:p>
      <w:pPr>
        <w:spacing w:line="580" w:lineRule="exact"/>
        <w:ind w:firstLine="640"/>
        <w:jc w:val="both"/>
      </w:pPr>
      <w:r>
        <w:rPr>
          <w:rFonts w:ascii="仿宋_GB2312" w:hAnsi="仿宋_GB2312" w:eastAsia="仿宋_GB2312"/>
          <w:b/>
          <w:sz w:val="32"/>
        </w:rPr>
        <w:t>收入支出总体与上年相比，</w:t>
      </w:r>
      <w:r>
        <w:rPr>
          <w:rFonts w:ascii="仿宋_GB2312" w:hAnsi="仿宋_GB2312" w:eastAsia="仿宋_GB2312"/>
          <w:b w:val="0"/>
          <w:sz w:val="32"/>
        </w:rPr>
        <w:t>增加1,034.77万元，增长19.52%，主要原因是：财政拨款增加在职人员工资调增、社保、医保、住房公积金等经费基数上调，人员经费较上年增加；非财政拨款新增新城综合楼附属设施建设等。</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本年收入6,335.03万元，</w:t>
      </w:r>
      <w:r>
        <w:rPr>
          <w:rFonts w:ascii="仿宋_GB2312" w:hAnsi="仿宋_GB2312" w:eastAsia="仿宋_GB2312"/>
          <w:b w:val="0"/>
          <w:sz w:val="32"/>
        </w:rPr>
        <w:t>其中：财政拨款收入898.53万元，占14.18%；上级补助收入0.00万元，占0.00%；事业收入0.00万元，占0.00%；经营收入0.00万元，占0.00%；附属单位上缴收入0.00万元，占0.00%；其他收入5,436.50万元，占85.82%。</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本年支出6,335.03万元，</w:t>
      </w:r>
      <w:r>
        <w:rPr>
          <w:rFonts w:ascii="仿宋_GB2312" w:hAnsi="仿宋_GB2312" w:eastAsia="仿宋_GB2312"/>
          <w:b w:val="0"/>
          <w:sz w:val="32"/>
        </w:rPr>
        <w:t>其中：基本支出5,962.63万元，占94.12%；项目支出372.40万元，占5.88%；上缴上级支出0.00万元，占0.00%；经营支出0.00万元，占0.00%；对附属单位补助支出0.00万元，占0.00%。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2025年度财政拨款收入总计898.53万元，</w:t>
      </w:r>
      <w:r>
        <w:rPr>
          <w:rFonts w:ascii="仿宋_GB2312" w:hAnsi="仿宋_GB2312" w:eastAsia="仿宋_GB2312"/>
          <w:b w:val="0"/>
          <w:sz w:val="32"/>
        </w:rPr>
        <w:t>其中：年初财政拨款结转和结余0.00万元，本年财政拨款收入898.53万元。</w:t>
      </w:r>
      <w:r>
        <w:rPr>
          <w:rFonts w:ascii="仿宋_GB2312" w:hAnsi="仿宋_GB2312" w:eastAsia="仿宋_GB2312"/>
          <w:b/>
          <w:sz w:val="32"/>
        </w:rPr>
        <w:t>财政拨款支出总计898.53万元，</w:t>
      </w:r>
      <w:r>
        <w:rPr>
          <w:rFonts w:ascii="仿宋_GB2312" w:hAnsi="仿宋_GB2312" w:eastAsia="仿宋_GB2312"/>
          <w:b w:val="0"/>
          <w:sz w:val="32"/>
        </w:rPr>
        <w:t>其中：年末财政拨款结转和结余0.00万元，本年财政拨款支出898.53万元。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减少382.12万元，下降29.84%，主要原因是：上年存在上级一次性专项项目资金，本年度无同类大额专项，整体财政拨款收支较上年减少。</w:t>
      </w:r>
      <w:r>
        <w:rPr>
          <w:rFonts w:ascii="仿宋_GB2312" w:hAnsi="仿宋_GB2312" w:eastAsia="仿宋_GB2312"/>
          <w:b/>
          <w:sz w:val="32"/>
        </w:rPr>
        <w:t>与年初预算相比，</w:t>
      </w:r>
      <w:r>
        <w:rPr>
          <w:rFonts w:ascii="仿宋_GB2312" w:hAnsi="仿宋_GB2312" w:eastAsia="仿宋_GB2312"/>
          <w:b w:val="0"/>
          <w:sz w:val="32"/>
        </w:rPr>
        <w:t>年初预算数807.70万元，决算数898.53万元，预决算差异率11.25%，主要原因是：年中追加人员工资调资，社保、医保、公积金缴费基数上调，人员经费增加，决算数较预算数增加。</w:t>
      </w:r>
    </w:p>
    <w:p>
      <w:pPr>
        <w:spacing w:line="640" w:lineRule="exact"/>
        <w:ind w:firstLine="640"/>
        <w:jc w:val="both"/>
        <w:outlineLvl w:val="2"/>
      </w:pPr>
      <w:r>
        <w:rPr>
          <w:rFonts w:ascii="黑体" w:hAnsi="黑体" w:eastAsia="黑体"/>
          <w:sz w:val="32"/>
        </w:rPr>
        <w:t>五、一般公共预算财政拨款支出决算情况说明</w:t>
      </w:r>
    </w:p>
    <w:p>
      <w:pPr>
        <w:spacing w:line="580" w:lineRule="exact"/>
        <w:ind w:firstLine="640"/>
        <w:jc w:val="both"/>
      </w:pPr>
      <w:r>
        <w:rPr>
          <w:rFonts w:ascii="仿宋_GB2312" w:hAnsi="仿宋_GB2312" w:eastAsia="仿宋_GB2312"/>
          <w:b w:val="0"/>
          <w:sz w:val="32"/>
        </w:rPr>
        <w:t>按照党中央、国务院关于党政机关习惯过紧日子的有关要求，厉行节约办一切事业，严控一般性支出。同时坚持有保有压，优化支出结构，提高资金使用效率，合理保障保障机构运转、公共服务、基层治理、民生保障、社区发展等重点支出，体现在有关支出科目中。</w:t>
      </w:r>
    </w:p>
    <w:p>
      <w:pPr>
        <w:spacing w:line="580" w:lineRule="exact"/>
        <w:ind w:firstLine="640"/>
        <w:jc w:val="both"/>
      </w:pPr>
      <w:r>
        <w:rPr>
          <w:rFonts w:ascii="仿宋_GB2312" w:hAnsi="仿宋_GB2312" w:eastAsia="仿宋_GB2312"/>
          <w:b w:val="0"/>
          <w:sz w:val="32"/>
        </w:rPr>
        <w:t>按照支出功能分类，一般公共服务支出（类）政府办公厅（室）及相关机构事务（款）事业运行（项）的支出占本年财政拨款支出总额的比重最高，2025年度决算数为361.46万元，占比40.23%，主要用于人员工资福利、社会保障缴费、日常公用经费、基层运转保障。。</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2025年度一般公共预算财政拨款支出898.53万元，</w:t>
      </w:r>
      <w:r>
        <w:rPr>
          <w:rFonts w:ascii="仿宋_GB2312" w:hAnsi="仿宋_GB2312" w:eastAsia="仿宋_GB2312"/>
          <w:b w:val="0"/>
          <w:sz w:val="32"/>
        </w:rPr>
        <w:t>占本年支出合计的14.18%。</w:t>
      </w:r>
      <w:r>
        <w:rPr>
          <w:rFonts w:ascii="仿宋_GB2312" w:hAnsi="仿宋_GB2312" w:eastAsia="仿宋_GB2312"/>
          <w:b/>
          <w:sz w:val="32"/>
        </w:rPr>
        <w:t>与上年相比，</w:t>
      </w:r>
      <w:r>
        <w:rPr>
          <w:rFonts w:ascii="仿宋_GB2312" w:hAnsi="仿宋_GB2312" w:eastAsia="仿宋_GB2312"/>
          <w:b w:val="0"/>
          <w:sz w:val="32"/>
        </w:rPr>
        <w:t>减少372.12万元，下降29.29%，主要原因是：上年含建设性专项经费，本年无建设项目专项，严控一般性支出，支出同比减少。</w:t>
      </w:r>
      <w:r>
        <w:rPr>
          <w:rFonts w:ascii="仿宋_GB2312" w:hAnsi="仿宋_GB2312" w:eastAsia="仿宋_GB2312"/>
          <w:b/>
          <w:sz w:val="32"/>
        </w:rPr>
        <w:t>与年初预算相比，</w:t>
      </w:r>
      <w:r>
        <w:rPr>
          <w:rFonts w:ascii="仿宋_GB2312" w:hAnsi="仿宋_GB2312" w:eastAsia="仿宋_GB2312"/>
          <w:b w:val="0"/>
          <w:sz w:val="32"/>
        </w:rPr>
        <w:t>年初预算数807.70万元，决算数898.53万元，预决算差异率11.25%，主要原因是：年中人员工资调资，社保、医保、公积金基数上调，追加人员经费，决算高于年初预算。</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1.一般公共服务支出（类）635.72万元，占70.75%。</w:t>
      </w:r>
    </w:p>
    <w:p>
      <w:pPr>
        <w:spacing w:line="580" w:lineRule="exact"/>
        <w:ind w:firstLine="640"/>
        <w:jc w:val="both"/>
      </w:pPr>
      <w:r>
        <w:rPr>
          <w:rFonts w:ascii="仿宋_GB2312" w:hAnsi="仿宋_GB2312" w:eastAsia="仿宋_GB2312"/>
          <w:b w:val="0"/>
          <w:sz w:val="32"/>
        </w:rPr>
        <w:t>2.社会保障和就业支出（类）125.09万元，占13.92%。</w:t>
      </w:r>
    </w:p>
    <w:p>
      <w:pPr>
        <w:spacing w:line="580" w:lineRule="exact"/>
        <w:ind w:firstLine="640"/>
        <w:jc w:val="both"/>
      </w:pPr>
      <w:r>
        <w:rPr>
          <w:rFonts w:ascii="仿宋_GB2312" w:hAnsi="仿宋_GB2312" w:eastAsia="仿宋_GB2312"/>
          <w:b w:val="0"/>
          <w:sz w:val="32"/>
        </w:rPr>
        <w:t>3.卫生健康支出（类）65.50万元，占7.29%。</w:t>
      </w:r>
    </w:p>
    <w:p>
      <w:pPr>
        <w:spacing w:line="580" w:lineRule="exact"/>
        <w:ind w:firstLine="640"/>
        <w:jc w:val="both"/>
      </w:pPr>
      <w:r>
        <w:rPr>
          <w:rFonts w:ascii="仿宋_GB2312" w:hAnsi="仿宋_GB2312" w:eastAsia="仿宋_GB2312"/>
          <w:b w:val="0"/>
          <w:sz w:val="32"/>
        </w:rPr>
        <w:t>4.农林水支出（类）5.52万元，占0.61%。</w:t>
      </w:r>
    </w:p>
    <w:p>
      <w:pPr>
        <w:spacing w:line="580" w:lineRule="exact"/>
        <w:ind w:firstLine="640"/>
        <w:jc w:val="both"/>
      </w:pPr>
      <w:r>
        <w:rPr>
          <w:rFonts w:ascii="仿宋_GB2312" w:hAnsi="仿宋_GB2312" w:eastAsia="仿宋_GB2312"/>
          <w:b w:val="0"/>
          <w:sz w:val="32"/>
        </w:rPr>
        <w:t>5.住房保障支出（类）66.70万元，占7.42%。</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一般公共服务支出（类）政府办公厅（室）及相关机构事务（款）行政运行（项）：支出决算数为274.25万元，比上年决算增加35.48万元，增长14.86%，主要原因是：年中追加在职人员工资、津贴、绩效调资，社保医保基数上调等，较上年增加。</w:t>
      </w:r>
    </w:p>
    <w:p>
      <w:pPr>
        <w:spacing w:line="580" w:lineRule="exact"/>
        <w:ind w:firstLine="640"/>
        <w:jc w:val="both"/>
      </w:pPr>
      <w:r>
        <w:rPr>
          <w:rFonts w:ascii="仿宋_GB2312" w:hAnsi="仿宋_GB2312" w:eastAsia="仿宋_GB2312"/>
          <w:b w:val="0"/>
          <w:sz w:val="32"/>
        </w:rPr>
        <w:t>2.一般公共服务支出（类）政府办公厅（室）及相关机构事务（款）事业运行（项）：支出决算数为361.46万元，比上年决算增加41.43万元，增长12.95%，主要原因是：年中追加在职人员工资、津贴、绩效调资，社保医保基数上调等，较上年增加。</w:t>
      </w:r>
    </w:p>
    <w:p>
      <w:pPr>
        <w:spacing w:line="580" w:lineRule="exact"/>
        <w:ind w:firstLine="640"/>
        <w:jc w:val="both"/>
      </w:pPr>
      <w:r>
        <w:rPr>
          <w:rFonts w:ascii="仿宋_GB2312" w:hAnsi="仿宋_GB2312" w:eastAsia="仿宋_GB2312"/>
          <w:b w:val="0"/>
          <w:sz w:val="32"/>
        </w:rPr>
        <w:t>3.一般公共服务支出（类）政府办公厅（室）及相关机构事务（款）其他政府办公厅（室）及相关机构事务支出（项）：支出决算数为0.00万元，比上年决算减少498.71万元，下降100.00%，主要原因是：上年安排此项专项资金，本年初未安排同类项目，较上年财政拨款支出减少。</w:t>
      </w:r>
    </w:p>
    <w:p>
      <w:pPr>
        <w:spacing w:line="580" w:lineRule="exact"/>
        <w:ind w:firstLine="640"/>
        <w:jc w:val="both"/>
      </w:pPr>
      <w:r>
        <w:rPr>
          <w:rFonts w:ascii="仿宋_GB2312" w:hAnsi="仿宋_GB2312" w:eastAsia="仿宋_GB2312"/>
          <w:b w:val="0"/>
          <w:sz w:val="32"/>
        </w:rPr>
        <w:t>4.一般公共服务支出（类）纪检监察事务（款）其他纪检监察事务支出（项）：支出决算数为0.00万元，比上年决算减少2.00万元，下降100.00%，主要原因是：上年安排此项专项资金，本年初未安排同类项目，较上年财政拨款支出减少。</w:t>
      </w:r>
    </w:p>
    <w:p>
      <w:pPr>
        <w:spacing w:line="580" w:lineRule="exact"/>
        <w:ind w:firstLine="640"/>
        <w:jc w:val="both"/>
      </w:pPr>
      <w:r>
        <w:rPr>
          <w:rFonts w:ascii="仿宋_GB2312" w:hAnsi="仿宋_GB2312" w:eastAsia="仿宋_GB2312"/>
          <w:b w:val="0"/>
          <w:sz w:val="32"/>
        </w:rPr>
        <w:t>5.社会保障和就业支出（类）行政事业单位养老支出（款）机关事业单位基本养老保险缴费支出（项）：支出决算数为79.81万元，比上年决算增加5.56万元，增长7.49%，主要原因是：年中追加在职人员工资、津贴、绩效调资，社保医保基数上调等，较上年增加。</w:t>
      </w:r>
    </w:p>
    <w:p>
      <w:pPr>
        <w:spacing w:line="580" w:lineRule="exact"/>
        <w:ind w:firstLine="640"/>
        <w:jc w:val="both"/>
      </w:pPr>
      <w:r>
        <w:rPr>
          <w:rFonts w:ascii="仿宋_GB2312" w:hAnsi="仿宋_GB2312" w:eastAsia="仿宋_GB2312"/>
          <w:b w:val="0"/>
          <w:sz w:val="32"/>
        </w:rPr>
        <w:t>6.社会保障和就业支出（类）行政事业单位养老支出（款）机关事业单位职业年金缴费支出（项）：支出决算数为45.29万元，比上年决算增加8.11万元，增长21.81%，主要原因是：年中追加在职人员工资、津贴、绩效调资，社保医保基数上调等，较上年增加。</w:t>
      </w:r>
    </w:p>
    <w:p>
      <w:pPr>
        <w:spacing w:line="580" w:lineRule="exact"/>
        <w:ind w:firstLine="640"/>
        <w:jc w:val="both"/>
      </w:pPr>
      <w:r>
        <w:rPr>
          <w:rFonts w:ascii="仿宋_GB2312" w:hAnsi="仿宋_GB2312" w:eastAsia="仿宋_GB2312"/>
          <w:b w:val="0"/>
          <w:sz w:val="32"/>
        </w:rPr>
        <w:t>7.卫生健康支出（类）行政事业单位医疗（款）行政单位医疗（项）：支出决算数为17.84万元，比上年决算减少2.00万元，下降10.08%，主要原因是：年中公务员调走2人，调减预算。</w:t>
      </w:r>
    </w:p>
    <w:p>
      <w:pPr>
        <w:spacing w:line="580" w:lineRule="exact"/>
        <w:ind w:firstLine="640"/>
        <w:jc w:val="both"/>
      </w:pPr>
      <w:r>
        <w:rPr>
          <w:rFonts w:ascii="仿宋_GB2312" w:hAnsi="仿宋_GB2312" w:eastAsia="仿宋_GB2312"/>
          <w:b w:val="0"/>
          <w:sz w:val="32"/>
        </w:rPr>
        <w:t>8.卫生健康支出（类）行政事业单位医疗（款）事业单位医疗（项）：支出决算数为27.71万元，比上年决算增加10.45万元，增长60.54%，主要原因是：年中追加在职人员社保医保基数上调等，较上年收支增加。</w:t>
      </w:r>
    </w:p>
    <w:p>
      <w:pPr>
        <w:spacing w:line="580" w:lineRule="exact"/>
        <w:ind w:firstLine="640"/>
        <w:jc w:val="both"/>
      </w:pPr>
      <w:r>
        <w:rPr>
          <w:rFonts w:ascii="仿宋_GB2312" w:hAnsi="仿宋_GB2312" w:eastAsia="仿宋_GB2312"/>
          <w:b w:val="0"/>
          <w:sz w:val="32"/>
        </w:rPr>
        <w:t>9.卫生健康支出（类）行政事业单位医疗（款）公务员医疗补助（项）：支出决算数为19.95万元，比上年决算增加17.65万元，增长767.39%，主要原因是：年中追加在职人员社保医保基数上调等，较上年财政拨款支出增加。</w:t>
      </w:r>
    </w:p>
    <w:p>
      <w:pPr>
        <w:spacing w:line="580" w:lineRule="exact"/>
        <w:ind w:firstLine="640"/>
        <w:jc w:val="both"/>
      </w:pPr>
      <w:r>
        <w:rPr>
          <w:rFonts w:ascii="仿宋_GB2312" w:hAnsi="仿宋_GB2312" w:eastAsia="仿宋_GB2312"/>
          <w:b w:val="0"/>
          <w:sz w:val="32"/>
        </w:rPr>
        <w:t>10.农林水支出（类）农业农村（款）其他农业农村支出（项）：支出决算数为5.52万元，比上年决算增加5.52万元，增长100.00%，主要原因是：上年未安排此项专项资金，本年初安排同类项目，较上年财政拨款支出增加。</w:t>
      </w:r>
    </w:p>
    <w:p>
      <w:pPr>
        <w:spacing w:line="580" w:lineRule="exact"/>
        <w:ind w:firstLine="640"/>
        <w:jc w:val="both"/>
      </w:pPr>
      <w:r>
        <w:rPr>
          <w:rFonts w:ascii="仿宋_GB2312" w:hAnsi="仿宋_GB2312" w:eastAsia="仿宋_GB2312"/>
          <w:b w:val="0"/>
          <w:sz w:val="32"/>
        </w:rPr>
        <w:t>11.住房保障支出（类）住房改革支出（款）住房公积金（项）：支出决算数为66.70万元，比上年决算增加6.39万元，增长10.60%，主要原因是：年中追加在职人员住房公积金基数上调等，较上年财政拨款支出增加。</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2025年度一般公共预算财政拨款基本支出893.01万元，其中：</w:t>
      </w:r>
      <w:r>
        <w:rPr>
          <w:rFonts w:ascii="仿宋_GB2312" w:hAnsi="仿宋_GB2312" w:eastAsia="仿宋_GB2312"/>
          <w:b/>
          <w:sz w:val="32"/>
        </w:rPr>
        <w:t>人员经费883.60万元，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包括：基本工资、津贴补贴、奖金、绩效工资、机关事业单位基本养老保险缴费、职业年金缴费、职工基本医疗保险缴费、公务员医疗补助缴费、其他社会保障缴费、住房公积金、奖励金。</w:t>
      </w:r>
    </w:p>
    <w:p>
      <w:pPr>
        <w:spacing w:line="580" w:lineRule="exact"/>
        <w:ind w:firstLine="640"/>
        <w:jc w:val="both"/>
      </w:pPr>
      <w:r>
        <w:rPr>
          <w:rFonts w:ascii="仿宋_GB2312" w:hAnsi="仿宋_GB2312" w:eastAsia="仿宋_GB2312"/>
          <w:b/>
          <w:sz w:val="32"/>
        </w:rPr>
        <w:t>公用经费9.41万元，</w:t>
      </w:r>
      <w:r>
        <w:rPr>
          <w:rFonts w:ascii="仿宋_GB2312" w:hAnsi="仿宋_GB2312" w:eastAsia="仿宋_GB2312"/>
          <w:b w:val="0"/>
          <w:sz w:val="32"/>
        </w:rPr>
        <w:t>包括：工会经费。</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sz w:val="32"/>
        </w:rPr>
        <w:t>2025年度政府性基金预算财政拨款收入总计0.00万元，</w:t>
      </w:r>
      <w:r>
        <w:rPr>
          <w:rFonts w:ascii="仿宋_GB2312" w:hAnsi="仿宋_GB2312" w:eastAsia="仿宋_GB2312"/>
          <w:b w:val="0"/>
          <w:sz w:val="32"/>
        </w:rPr>
        <w:t>其中：年初结转和结余0.00万元，本年收入0.00万元。</w:t>
      </w:r>
      <w:r>
        <w:rPr>
          <w:rFonts w:ascii="仿宋_GB2312" w:hAnsi="仿宋_GB2312" w:eastAsia="仿宋_GB2312"/>
          <w:b/>
          <w:sz w:val="32"/>
        </w:rPr>
        <w:t>政府性基金预算财政拨款支出总计0.00万元，</w:t>
      </w:r>
      <w:r>
        <w:rPr>
          <w:rFonts w:ascii="仿宋_GB2312" w:hAnsi="仿宋_GB2312" w:eastAsia="仿宋_GB2312"/>
          <w:b w:val="0"/>
          <w:sz w:val="32"/>
        </w:rPr>
        <w:t>其中：年末结转和结余0.00万元，本年支出0.00万元。</w:t>
      </w:r>
    </w:p>
    <w:p>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减少10.00万元，下降100.00%，主要原因是：上年有政府性彩票公益基金专项资金，本年未安排同类政府性基金项目，较上年财政拨款收支减少。</w:t>
      </w:r>
      <w:r>
        <w:rPr>
          <w:rFonts w:ascii="仿宋_GB2312" w:hAnsi="仿宋_GB2312" w:eastAsia="仿宋_GB2312"/>
          <w:b/>
          <w:sz w:val="32"/>
        </w:rPr>
        <w:t>与年初预算相比，</w:t>
      </w:r>
      <w:r>
        <w:rPr>
          <w:rFonts w:ascii="仿宋_GB2312" w:hAnsi="仿宋_GB2312" w:eastAsia="仿宋_GB2312"/>
          <w:b w:val="0"/>
          <w:sz w:val="32"/>
        </w:rPr>
        <w:t>年初预算数0.00万元，决算数0.00万元，预决算差异率0.00%，主要原因是：本年度未编制政府性基金相关预算，也未发生政府性基金财政拨款收支，预决算无差异。</w:t>
      </w:r>
    </w:p>
    <w:p>
      <w:pPr>
        <w:spacing w:line="580" w:lineRule="exact"/>
        <w:ind w:firstLine="640"/>
        <w:jc w:val="both"/>
      </w:pPr>
      <w:r>
        <w:rPr>
          <w:rFonts w:ascii="仿宋_GB2312" w:hAnsi="仿宋_GB2312" w:eastAsia="仿宋_GB2312"/>
          <w:b w:val="0"/>
          <w:sz w:val="32"/>
        </w:rPr>
        <w:t>政府性基金预算财政拨款本年支出0.00万元。具体情况如下：</w:t>
      </w:r>
    </w:p>
    <w:p>
      <w:pPr>
        <w:spacing w:line="580" w:lineRule="exact"/>
        <w:ind w:firstLine="640"/>
        <w:jc w:val="both"/>
      </w:pPr>
      <w:r>
        <w:rPr>
          <w:rFonts w:ascii="仿宋_GB2312" w:hAnsi="仿宋_GB2312" w:eastAsia="仿宋_GB2312"/>
          <w:b w:val="0"/>
          <w:sz w:val="32"/>
        </w:rPr>
        <w:t>1.其他支出（类）彩票公益金安排的支出（款）用于社会福利的彩票公益金支出（项）：支出决算数为0.00万元，比上年决算减少10.00万元，下降100.00%，主要原因是：本年度下达彩票公益金相关专项，本年未安排该类项目，较上年减少。</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2025年度财政拨款“三公”经费支出0.00万元，</w:t>
      </w:r>
      <w:r>
        <w:rPr>
          <w:rFonts w:ascii="仿宋_GB2312" w:hAnsi="仿宋_GB2312" w:eastAsia="仿宋_GB2312"/>
          <w:b w:val="0"/>
          <w:sz w:val="32"/>
        </w:rPr>
        <w:t>比上年增加0.00万元，增长0.00%，主要原因是：2024年与2025年均无财政拨款“三公”经费支出。</w:t>
      </w:r>
      <w:r>
        <w:rPr>
          <w:rFonts w:ascii="仿宋_GB2312" w:hAnsi="仿宋_GB2312" w:eastAsia="仿宋_GB2312"/>
          <w:b w:val="0"/>
          <w:sz w:val="32"/>
        </w:rPr>
        <w:t>其中：因公出国（境）费用支出0.00万元，占0.00%，比上年增加0.00万元，增长0.00%，主要原因是：2024年与2025年均无因公出国（境）费用支出。</w:t>
      </w:r>
      <w:r>
        <w:rPr>
          <w:rFonts w:ascii="仿宋_GB2312" w:hAnsi="仿宋_GB2312" w:eastAsia="仿宋_GB2312"/>
          <w:b w:val="0"/>
          <w:sz w:val="32"/>
        </w:rPr>
        <w:t>公务用车购置及运行维护费支出0.00万元，占0.00%，比上年增加0.00万元，增长0.00%，主要原因是：2024年与2025年均无公务用车购置及运行维护费支出。</w:t>
      </w:r>
      <w:r>
        <w:rPr>
          <w:rFonts w:ascii="仿宋_GB2312" w:hAnsi="仿宋_GB2312" w:eastAsia="仿宋_GB2312"/>
          <w:b w:val="0"/>
          <w:sz w:val="32"/>
        </w:rPr>
        <w:t>公务接待费支出0.00万元，占0.00%，比上年增加0.00万元，增长0.00%，主要原因是：2024年与2025年均无公务接待费支出。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因公出国（境）费用0.00万元，开支内容包括本单位无因公出国（境）费用。单位全年安排的因公出国（境）团组0个，因公出国（境）0人次。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2辆，与公务用车保有量差异原因是：差异车辆为一般业务用车，预算未安排公务用车运行维护费。</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其中：因公出国（境）费用全年预算数0.00万元，决算数0.00万元，预决算差异率0.00%，主要原因是：本单位无因公出国（境）费用。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2025年度吉木萨尔县五彩湾镇人民政府（行政单位和参照公务员法管理事业单位）机关运行经费支出9.41万元，比上年减少1.95万元，下降17.17%，主要原因是：结合人员及办公保障实际统筹安排经费，保障机关正常运转，较上年减少。</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2025年度政府采购支出总额51.85万元，其中：政府采购货物支出6.35万元、政府采购工程支出0.00万元、政府采购服务支出45.49万元。</w:t>
      </w:r>
    </w:p>
    <w:p>
      <w:pPr>
        <w:spacing w:line="580" w:lineRule="exact"/>
        <w:ind w:firstLine="640"/>
        <w:jc w:val="both"/>
      </w:pPr>
      <w:r>
        <w:rPr>
          <w:rFonts w:ascii="仿宋_GB2312" w:hAnsi="仿宋_GB2312" w:eastAsia="仿宋_GB2312"/>
          <w:b w:val="0"/>
          <w:sz w:val="32"/>
        </w:rPr>
        <w:t>授予中小企业合同金额42.22万元，占政府采购支出总额的81.43%，其中：授予小微企业合同金额18.22万元，占政府采购支出总额的35.14%。</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2025年12月31日，房屋4,111.36平方米，价值1,593.89万元。车辆2辆，价值53.55万元，其中：副部（省）级及以上领导用车0辆、主要负责人用车0辆、机要通信用车0辆、应急保障用车0辆、执法执勤用车0辆、特种专业技术用车0辆、离退休干部服务用车0辆、其他用车2辆，其他用车主要是：单位业务用车。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2025年度预算绩效管理形成整体支出绩效自评表1个，全年预算总额6,335.02万元，实际执行总额6,335.02万元；预算绩效评价项目1个，全年预算数5.52万元，全年执行数5.52万元。预算绩效管理取得的成效：一是规范预算编制管理，强化绩效目标事前审核，做到资金安排与绩效目标同步申报；二是严格预算执行管控，落实绩效运行监控，严控一般性支出，提升财政资金使用效益；三是扎实开展绩效自评工作，完善自评资料，以评价结果优化下年度预算安排。发现的问题及原因：一是绩效目标设置精细化不足，部分指标量化程度不够；二是绩效运行动态监控力度有待加强，过程跟踪记录不够完整；三是绩效评价结果应用不够充分，与预算调整联动衔接不足。下一步改进措施：一是细化绩效指标编制，提高绩效目标可量化、可考核水平；二是健全绩效监控机制，定期跟踪项目执行，及时纠偏；三是强化绩效自评结果运用，将评价情况作为后续预算安排重要依据，持续提升资金使用效能。具体附整体支出绩效自评表、项目支出绩效自评表。</w:t>
      </w:r>
    </w:p>
    <w:p>
      <w:r>
        <w:br w:type="page"/>
      </w:r>
    </w:p>
    <w:tbl>
      <w:tblPr>
        <w:tblW w:type="auto" w:w="0"/>
        <w:tblLook w:firstColumn="1" w:firstRow="1" w:lastColumn="0" w:lastRow="0" w:noHBand="0" w:noVBand="1" w:val="04A0"/>
      </w:tblPr>
      <w:tblGrid>
        <w:gridCol w:w="983"/>
        <w:gridCol w:w="983"/>
        <w:gridCol w:w="983"/>
        <w:gridCol w:w="983"/>
        <w:gridCol w:w="983"/>
        <w:gridCol w:w="983"/>
        <w:gridCol w:w="983"/>
        <w:gridCol w:w="983"/>
        <w:gridCol w:w="983"/>
      </w:tblGrid>
      <w:tr>
        <w:tc>
          <w:tcPr>
            <w:tcW w:type="dxa" w:w="983"/>
            <w:gridSpan w:val="9"/>
            <w:vAlign w:val="center"/>
          </w:tcPr>
          <w:p>
            <w:pPr>
              <w:jc w:val="center"/>
            </w:pPr>
            <w:r>
              <w:rPr>
                <w:rFonts w:ascii="宋体" w:hAnsi="宋体" w:eastAsia="宋体"/>
                <w:sz w:val="24"/>
              </w:rPr>
              <w:t>单位整体支出绩效自评表</w:t>
            </w:r>
          </w:p>
        </w:tc>
      </w:tr>
      <w:tr>
        <w:tc>
          <w:tcPr>
            <w:tcW w:type="dxa" w:w="983"/>
            <w:gridSpan w:val="9"/>
            <w:vAlign w:val="center"/>
          </w:tcPr>
          <w:p>
            <w:pPr>
              <w:jc w:val="center"/>
            </w:pPr>
            <w:r>
              <w:rPr>
                <w:rFonts w:ascii="宋体" w:hAnsi="宋体" w:eastAsia="宋体"/>
                <w:sz w:val="24"/>
              </w:rPr>
              <w:t>（2025年度）</w:t>
            </w:r>
          </w:p>
        </w:tc>
      </w:tr>
      <w:tr>
        <w:trPr>
          <w:cantSplit/>
        </w:trPr>
        <w:tc>
          <w:tcPr>
            <w:tcBorders>
              <w:top w:sz="10" w:val="single"/>
              <w:bottom w:sz="10" w:val="single"/>
              <w:start w:sz="10" w:val="single"/>
              <w:end w:sz="10" w:val="single"/>
              <w:insideV w:sz="10" w:val="single"/>
            </w:tcBorders>
            <w:vAlign w:val="center"/>
          </w:tcPr>
          <w:p>
            <w:pPr>
              <w:jc w:val="center"/>
            </w:pPr>
            <w:r>
              <w:rPr>
                <w:rFonts w:ascii="宋体" w:hAnsi="宋体" w:eastAsia="宋体"/>
                <w:sz w:val="16"/>
              </w:rPr>
              <w:t>单位名称</w:t>
            </w:r>
          </w:p>
        </w:tc>
        <w:tc>
          <w:tcPr>
            <w:gridSpan w:val="8"/>
            <w:tcBorders>
              <w:top w:sz="10" w:val="single"/>
              <w:bottom w:sz="10" w:val="single"/>
              <w:start w:sz="10" w:val="single"/>
              <w:end w:sz="10" w:val="single"/>
              <w:insideV w:sz="10" w:val="single"/>
            </w:tcBorders>
            <w:vAlign w:val="center"/>
          </w:tcPr>
          <w:p>
            <w:pPr>
              <w:jc w:val="center"/>
            </w:pPr>
            <w:r>
              <w:rPr>
                <w:rFonts w:ascii="宋体" w:hAnsi="宋体" w:eastAsia="宋体"/>
                <w:sz w:val="16"/>
              </w:rPr>
              <w:t>吉木萨尔县五彩湾镇人民政府</w:t>
            </w:r>
          </w:p>
        </w:tc>
      </w:tr>
      <w:tr>
        <w:trPr>
          <w:cantSplit/>
        </w:trPr>
        <w:tc>
          <w:tcPr>
            <w:tcW w:type="dxa" w:w="983"/>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部门资金（万元）</w:t>
            </w: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资金来源</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上级资金</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本级资金</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807.69</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5,967.59</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5,967.59</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其他资金</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5,103.27</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367.43</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367.43</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合计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11,821.92</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12,670.04</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12,670.04</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合计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11,821.92</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12,670.04</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12,670.04</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983"/>
            <w:gridSpan w:val="3"/>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983"/>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3"/>
            <w:tcBorders>
              <w:start w:sz="10" w:val="single"/>
              <w:top w:sz="10" w:val="single"/>
              <w:end w:sz="10" w:val="single"/>
              <w:bottom w:sz="10" w:val="single"/>
              <w:insideV w:sz="10" w:val="single"/>
            </w:tcBorders>
            <w:vAlign w:val="center"/>
          </w:tcPr>
          <w:p>
            <w:pPr>
              <w:jc w:val="both"/>
            </w:pPr>
            <w:r>
              <w:rPr>
                <w:rFonts w:ascii="宋体" w:hAnsi="宋体" w:eastAsia="宋体"/>
                <w:sz w:val="16"/>
              </w:rPr>
              <w:t>五彩湾镇在准东开发区党工委、管委会的坚强领导和大力支持下，坚持以习近平新时代中国特色社会主义思想为指导，深入贯彻党的二十大和二十届三中全会精神，紧紧围绕各项重点工作，履行好职责。按照“和谐稳镇、服务立镇、城建活镇、文化兴镇、生态美镇、富民强镇、党建固镇”的思路，把服务保障作为立镇之本、强镇之基和为政之要，搭建服务平台，完善服务机制，提升服务能力，全年计划开展主题宣传日活动开展次数达到12次，综治工作开展次数达到12次，现场解决企业、个体商户困难达到20件，开展社火调演、文艺汇演、体育活动达到12次，开展党政廉政教育会议达到12次，开展环境卫生整治工作达到60次，完成就业登记人次达到2500人，安全生产排查率达到100%。以优质高效的服务促进二三产业融合发展，着力使全镇的稳定根基得到新加强、经济发展再添新动力、社会治理效能得到新提升、生态建设展现新格局、民生福祉跃上新水平、综合实力迈上新台阶。</w:t>
            </w:r>
          </w:p>
        </w:tc>
        <w:tc>
          <w:tcPr>
            <w:tcW w:type="dxa" w:w="983"/>
            <w:gridSpan w:val="5"/>
            <w:tcBorders>
              <w:start w:sz="10" w:val="single"/>
              <w:top w:sz="10" w:val="single"/>
              <w:end w:sz="10" w:val="single"/>
              <w:bottom w:sz="10" w:val="single"/>
              <w:insideV w:sz="10" w:val="single"/>
            </w:tcBorders>
            <w:vAlign w:val="center"/>
          </w:tcPr>
          <w:p>
            <w:pPr>
              <w:jc w:val="both"/>
            </w:pPr>
            <w:r>
              <w:rPr>
                <w:rFonts w:ascii="宋体" w:hAnsi="宋体" w:eastAsia="宋体"/>
                <w:sz w:val="16"/>
              </w:rPr>
              <w:t>截至2025年12月31日，单位全年预算6335.02万元，实际支出6335.02万元，预算执行率100%。我单位按照县政府、准东开发区党工委、管委会的年初安排部署，紧紧围绕各项重点工作，履行好职责。按照“和谐稳镇、服务立镇、城建活镇、文化兴镇、生态美镇、富民强镇、党建固镇”的思路，把服务保障作为立镇之本、强镇之基和为政之要，搭建服务平台，完善服务机制，提升服务能力，全年计划开展主题宣传日活动开展次数达到18次，综治工作开展次数达到52次，现场解决企业、个体商户困难达到446件，开展社火调演、文艺汇演、体育活动达到12次，开展党政廉政教育会议达到12次，开展环境卫生整治工作达到97次，完成就业登记人次达到2500人，安全生产排查率达到100%。以优质高效的服务促进二三产业融合发展，着力使全镇的稳定根基得到新加强、经济发展再添新动力、社会治理效能得到新提升、生态建设展现新格局、民生福祉跃上新水平、综合实力迈上新台阶。</w:t>
            </w:r>
          </w:p>
        </w:tc>
      </w:tr>
      <w:tr>
        <w:trPr>
          <w:cantSplit/>
        </w:trPr>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预期指标值</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实际完成指标值</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rPr>
          <w:cantSplit/>
        </w:trPr>
        <w:tc>
          <w:tcPr>
            <w:tcW w:type="dxa" w:w="983"/>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履职效能</w:t>
            </w:r>
          </w:p>
        </w:tc>
        <w:tc>
          <w:tcPr>
            <w:tcW w:type="dxa" w:w="983"/>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主题宣传日活动开展次数</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&gt;=12次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五彩湾镇2024年工作总结及2025年工作计划、2025年吉木萨尔县预算批复、2025年准东预算批复</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=18次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综治工作开展次数</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&gt;=12次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五彩湾镇2024年工作总结及2025年工作计划、2025年吉木萨尔县预算批复、2025年准东预算批复</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9</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=52次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9</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现场解决企业、个体商户困难</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&gt;=20件</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五彩湾镇2024年工作总结及2025年工作计划、2025年吉木萨尔县预算批复、2025年准东预算批复</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11</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=446件</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11</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开展社火调演、文艺汇演、体育活动</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&gt;=12次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五彩湾镇2024年工作总结及2025年工作计划、2025年吉木萨尔县预算批复、2025年准东预算批复</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7</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=12次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7</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开展党政廉政教育会议</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&gt;=12次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五彩湾镇2024年工作总结及2025年工作计划、2025年吉木萨尔县预算批复、2025年准东预算批复</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=12次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开展环境卫生整治工作</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&gt;=60次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五彩湾镇2024年工作总结及2025年工作计划、2025年吉木萨尔县预算批复、2025年准东预算批复</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12</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=97次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12</w:t>
            </w:r>
          </w:p>
        </w:tc>
      </w:tr>
      <w:tr>
        <w:trPr>
          <w:cantSplit/>
        </w:trPr>
        <w:tc>
          <w:tcPr>
            <w:tcW w:type="dxa" w:w="983"/>
            <w:vMerge/>
            <w:tcBorders>
              <w:start w:sz="10" w:val="single"/>
              <w:top w:sz="10" w:val="single"/>
              <w:end w:sz="10" w:val="single"/>
              <w:bottom w:sz="10" w:val="single"/>
              <w:insideV w:sz="10" w:val="single"/>
            </w:tcBorders>
          </w:tcP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社会效益指标</w:t>
            </w: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完成就业登记人次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&gt;=2500人</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五彩湾镇2024年工作总结及2025年工作计划、2025年吉木萨尔县预算批复、2025年准东预算批复</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=2500人</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r>
      <w:tr>
        <w:trPr>
          <w:cantSplit/>
        </w:trPr>
        <w:tc>
          <w:tcPr>
            <w:tcW w:type="dxa" w:w="983"/>
            <w:vMerge/>
            <w:tcBorders>
              <w:start w:sz="10" w:val="single"/>
              <w:top w:sz="10" w:val="single"/>
              <w:end w:sz="10" w:val="single"/>
              <w:bottom w:sz="10" w:val="single"/>
              <w:insideV w:sz="10" w:val="single"/>
            </w:tcBorders>
          </w:tcP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质量指标</w:t>
            </w: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安全生产排查率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五彩湾镇2024年工作总结及2025年工作计划、2025年吉木萨尔县预算批复、2025年准东预算批复</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18</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18</w:t>
            </w:r>
          </w:p>
        </w:tc>
      </w:tr>
      <w:tr>
        <w:trPr>
          <w:cantSplit/>
        </w:trPr>
        <w:tc>
          <w:tcPr>
            <w:tcW w:type="dxa" w:w="983"/>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983"/>
            <w:tcBorders>
              <w:start w:sz="10" w:val="single"/>
              <w:top w:sz="10" w:val="single"/>
              <w:end w:sz="10" w:val="single"/>
              <w:bottom w:sz="10" w:val="single"/>
              <w:insideV w:sz="10" w:val="single"/>
            </w:tcBorders>
          </w:tcP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90</w:t>
            </w:r>
          </w:p>
        </w:tc>
      </w:tr>
    </w:tbl>
    <w:p>
      <w:r>
        <w:br w:type="page"/>
      </w:r>
    </w:p>
    <w:p>
      <w:pPr>
        <w:sectPr>
          <w:footerReference r:id="rId3" w:type="default"/>
          <w:pgSz w:w="11906" w:h="16838"/>
          <w:pgMar w:top="2098" w:right="1531" w:bottom="1985" w:left="1531" w:header="851" w:footer="992" w:gutter="0"/>
          <w:cols w:space="720" w:num="1"/>
          <w:docGrid w:type="lines" w:linePitch="312" w:charSpace="0"/>
        </w:sectPr>
      </w:pP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五彩湾镇第一批群众“微实事”项目</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吉木萨尔县五彩湾镇人民政府</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吉木萨尔县五彩湾镇人民政府</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5.52</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5.52</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5.52</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5.52</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5.52</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5.52</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为了进一步提高县人大代表建议办理工作时效，切实解决好人民群众关注的热点难点问题。五彩湾镇依据吉县政办函【2025】8号关于加快实施吉木萨尔县2025年第一批群众“微实事"的通知，依法依规加快推进，严格按照建设内容实施。2025年7月，根据项目采购手续，在2025年8月底前尽快完成为辖区内小区提供户外健身器材38套，计划投入5.52万元，覆盖1个社区。通过项目的实施，受益彩北社区商户户数147户，使得受益群众对文化生活满意度不低于95%。</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至2025年12月31日，该项目支出资金5.52万元，资金执行率100%，本项目实际完成100%；通过本项目的实施，加强五彩湾镇依据吉县政办函【2025】8号关于加快实施吉木萨尔县2025年第一批群众“微实事"的通知，依法依规加快推进，严格按照建设内容实施，提高了县人大代表建议办理工作时效，促进了解决好人民群众关注的热点难点问题。</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覆盖社区数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设备购置数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&gt;=38套</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=38套</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设备验收合格率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直接赋分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完成安装时间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2025年8月30日前</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=2025年8月30日前</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设备成本</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&lt;=1453元/套</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=1453元/套</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满足群众文化生活，提高服务水平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有效提升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受益彩北社区商户户数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&gt;=147户</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=147户</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群众对文化生活满意度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p>
      <w:pPr>
        <w:sectPr>
          <w:type w:val="continuous"/>
          <w:pgSz w:w="11906" w:h="16838"/>
          <w:pgMar w:top="1440" w:right="1800" w:bottom="1440" w:left="1800" w:header="851" w:footer="992" w:gutter="0"/>
          <w:cols w:space="720" w:num="1"/>
          <w:docGrid w:type="lines" w:linePitch="312" w:charSpace="0"/>
        </w:sectPr>
      </w:pP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本单位无其他需说明的事项。</w:t>
      </w:r>
    </w:p>
    <w:p>
      <w:r>
        <w:br w:type="page"/>
      </w:r>
    </w:p>
    <w:p>
      <w:pPr>
        <w:spacing w:lineRule="exact" w:line="600"/>
        <w:jc w:val="center"/>
        <w:outlineLvl w:val="0"/>
      </w:pPr>
      <w:r>
        <w:rPr>
          <w:rFonts w:ascii="黑体" w:hAnsi="黑体" w:eastAsia="黑体"/>
          <w:sz w:val="32"/>
        </w:rPr>
        <w:t>第三部分 专业名词解释</w:t>
      </w:r>
    </w:p>
    <w:p>
      <w:pPr>
        <w:spacing w:lineRule="exact" w:line="600"/>
        <w:ind w:firstLine="643" w:firstLineChars="200"/>
        <w:autoSpaceDE w:val="0"/>
        <w:autoSpaceDN w:val="0"/>
      </w:pPr>
      <w:r>
        <w:rPr>
          <w:rFonts w:ascii="仿宋_GB2312" w:hAnsi="仿宋_GB2312" w:eastAsia="仿宋_GB2312"/>
          <w:b/>
          <w:sz w:val="32"/>
        </w:rPr>
        <w:t>一、财政拨款收入：</w:t>
      </w:r>
      <w:r>
        <w:rPr>
          <w:rFonts w:ascii="仿宋_GB2312" w:hAnsi="仿宋_GB2312" w:eastAsia="仿宋_GB2312"/>
          <w:b w:val="0"/>
          <w:sz w:val="32"/>
        </w:rPr>
        <w:t>指单位本年度从同级财政部门取得的财政拨款，包括一般公共预算财政拨款、政府性基金预算财政拨款和国有资本经营预算财政拨款。</w:t>
      </w:r>
    </w:p>
    <w:p>
      <w:pPr>
        <w:spacing w:lineRule="exact" w:line="600"/>
        <w:ind w:firstLine="643" w:firstLineChars="200"/>
        <w:autoSpaceDE w:val="0"/>
        <w:autoSpaceDN w:val="0"/>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Rule="exact" w:line="600"/>
        <w:ind w:firstLine="643" w:firstLineChars="200"/>
        <w:autoSpaceDE w:val="0"/>
        <w:autoSpaceDN w:val="0"/>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指事业单位开展专业业务活动及其辅助活动取得的收入。</w:t>
      </w:r>
    </w:p>
    <w:p>
      <w:pPr>
        <w:spacing w:lineRule="exact" w:line="600"/>
        <w:ind w:firstLine="643" w:firstLineChars="200"/>
        <w:autoSpaceDE w:val="0"/>
        <w:autoSpaceDN w:val="0"/>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Rule="exact" w:line="600"/>
        <w:ind w:firstLine="643" w:firstLineChars="200"/>
        <w:autoSpaceDE w:val="0"/>
        <w:autoSpaceDN w:val="0"/>
      </w:pPr>
      <w:r>
        <w:rPr>
          <w:rFonts w:ascii="仿宋_GB2312" w:hAnsi="仿宋_GB2312" w:eastAsia="仿宋_GB2312"/>
          <w:b/>
          <w:sz w:val="32"/>
        </w:rPr>
        <w:t>五、附属单位上缴收入：</w:t>
      </w:r>
      <w:r>
        <w:rPr>
          <w:rFonts w:ascii="仿宋_GB2312" w:hAnsi="仿宋_GB2312" w:eastAsia="仿宋_GB2312"/>
          <w:b w:val="0"/>
          <w:sz w:val="32"/>
        </w:rPr>
        <w:t>指事业单位附属独立核算单位按照有关规定上缴的收入。</w:t>
      </w:r>
    </w:p>
    <w:p>
      <w:pPr>
        <w:spacing w:lineRule="exact" w:line="600"/>
        <w:ind w:firstLine="643" w:firstLineChars="200"/>
        <w:autoSpaceDE w:val="0"/>
        <w:autoSpaceDN w:val="0"/>
      </w:pPr>
      <w:r>
        <w:rPr>
          <w:rFonts w:ascii="仿宋_GB2312" w:hAnsi="仿宋_GB2312" w:eastAsia="仿宋_GB2312"/>
          <w:b/>
          <w:sz w:val="32"/>
        </w:rPr>
        <w:t>六、其他收入：</w:t>
      </w:r>
      <w:r>
        <w:rPr>
          <w:rFonts w:ascii="仿宋_GB2312" w:hAnsi="仿宋_GB2312" w:eastAsia="仿宋_GB2312"/>
          <w:b w:val="0"/>
          <w:sz w:val="32"/>
        </w:rPr>
        <w:t>指单位取得的除上述“财政拨款收入”“上级补助收入”“事业收入”“经营收入”“附属单位上缴收入”以外的各项收入。</w:t>
      </w:r>
    </w:p>
    <w:p>
      <w:pPr>
        <w:spacing w:lineRule="exact" w:line="600"/>
        <w:ind w:firstLine="643" w:firstLineChars="200"/>
        <w:autoSpaceDE w:val="0"/>
        <w:autoSpaceDN w:val="0"/>
      </w:pPr>
      <w:r>
        <w:rPr>
          <w:rFonts w:ascii="仿宋_GB2312" w:hAnsi="仿宋_GB2312" w:eastAsia="仿宋_GB2312"/>
          <w:b/>
          <w:sz w:val="32"/>
        </w:rPr>
        <w:t>七、年初结转和结余：</w:t>
      </w:r>
      <w:r>
        <w:rPr>
          <w:rFonts w:ascii="仿宋_GB2312" w:hAnsi="仿宋_GB2312" w:eastAsia="仿宋_GB2312"/>
          <w:b w:val="0"/>
          <w:sz w:val="32"/>
        </w:rPr>
        <w:t>指单位上年结转本年使用的基本支出结转、项目支出结转和结余、经营结余。</w:t>
      </w:r>
    </w:p>
    <w:p>
      <w:pPr>
        <w:spacing w:lineRule="exact" w:line="600"/>
        <w:ind w:firstLine="643" w:firstLineChars="200"/>
        <w:autoSpaceDE w:val="0"/>
        <w:autoSpaceDN w:val="0"/>
      </w:pPr>
      <w:r>
        <w:rPr>
          <w:rFonts w:ascii="仿宋_GB2312" w:hAnsi="仿宋_GB2312" w:eastAsia="仿宋_GB2312"/>
          <w:b/>
          <w:sz w:val="32"/>
        </w:rPr>
        <w:t>八、使用非财政拨款结余（含专用结余）：</w:t>
      </w:r>
      <w:r>
        <w:rPr>
          <w:rFonts w:ascii="仿宋_GB2312" w:hAnsi="仿宋_GB2312" w:eastAsia="仿宋_GB2312"/>
          <w:b w:val="0"/>
          <w:sz w:val="32"/>
        </w:rPr>
        <w:t>指单位按照预算管理要求使用非财政拨款结余弥补收支差额的金额，以及使用专用结余安排支出的金额。</w:t>
      </w:r>
    </w:p>
    <w:p>
      <w:pPr>
        <w:spacing w:lineRule="exact" w:line="600"/>
        <w:ind w:firstLine="643" w:firstLineChars="200"/>
        <w:autoSpaceDE w:val="0"/>
        <w:autoSpaceDN w:val="0"/>
      </w:pPr>
      <w:r>
        <w:rPr>
          <w:rFonts w:ascii="仿宋_GB2312" w:hAnsi="仿宋_GB2312" w:eastAsia="仿宋_GB2312"/>
          <w:b/>
          <w:sz w:val="32"/>
        </w:rPr>
        <w:t>九、结余分配：</w:t>
      </w:r>
      <w:r>
        <w:rPr>
          <w:rFonts w:ascii="仿宋_GB2312" w:hAnsi="仿宋_GB2312" w:eastAsia="仿宋_GB2312"/>
          <w:b w:val="0"/>
          <w:sz w:val="32"/>
        </w:rPr>
        <w:t>指单位缴纳企业所得税以及从非财政拨款结余或经营结余中提取各类结余的情况。</w:t>
      </w:r>
    </w:p>
    <w:p>
      <w:pPr>
        <w:spacing w:lineRule="exact" w:line="600"/>
        <w:ind w:firstLine="643" w:firstLineChars="200"/>
        <w:autoSpaceDE w:val="0"/>
        <w:autoSpaceDN w:val="0"/>
      </w:pPr>
      <w:r>
        <w:rPr>
          <w:rFonts w:ascii="仿宋_GB2312" w:hAnsi="仿宋_GB2312" w:eastAsia="仿宋_GB2312"/>
          <w:b/>
          <w:sz w:val="32"/>
        </w:rPr>
        <w:t>十、年末结转和结余：</w:t>
      </w:r>
      <w:r>
        <w:rPr>
          <w:rFonts w:ascii="仿宋_GB2312" w:hAnsi="仿宋_GB2312" w:eastAsia="仿宋_GB2312"/>
          <w:b w:val="0"/>
          <w:sz w:val="32"/>
        </w:rPr>
        <w:t>指单位结转下年的基本支出结转、项目支出结转和结余、经营结余。</w:t>
      </w:r>
    </w:p>
    <w:p>
      <w:pPr>
        <w:spacing w:lineRule="exact" w:line="600"/>
        <w:ind w:firstLine="643" w:firstLineChars="200"/>
        <w:autoSpaceDE w:val="0"/>
        <w:autoSpaceDN w:val="0"/>
      </w:pPr>
      <w:r>
        <w:rPr>
          <w:rFonts w:ascii="仿宋_GB2312" w:hAnsi="仿宋_GB2312" w:eastAsia="仿宋_GB2312"/>
          <w:b/>
          <w:sz w:val="32"/>
        </w:rPr>
        <w:t>十一、基本支出：</w:t>
      </w:r>
      <w:r>
        <w:rPr>
          <w:rFonts w:ascii="仿宋_GB2312" w:hAnsi="仿宋_GB2312" w:eastAsia="仿宋_GB2312"/>
          <w:b w:val="0"/>
          <w:sz w:val="32"/>
        </w:rPr>
        <w:t>指单位为保障机构正常运转、完成日常工作任务而发生的各项支出。</w:t>
      </w:r>
    </w:p>
    <w:p>
      <w:pPr>
        <w:spacing w:lineRule="exact" w:line="600"/>
        <w:ind w:firstLine="643" w:firstLineChars="200"/>
        <w:autoSpaceDE w:val="0"/>
        <w:autoSpaceDN w:val="0"/>
      </w:pPr>
      <w:r>
        <w:rPr>
          <w:rFonts w:ascii="仿宋_GB2312" w:hAnsi="仿宋_GB2312" w:eastAsia="仿宋_GB2312"/>
          <w:b/>
          <w:sz w:val="32"/>
        </w:rPr>
        <w:t>十二、项目支出：</w:t>
      </w:r>
      <w:r>
        <w:rPr>
          <w:rFonts w:ascii="仿宋_GB2312" w:hAnsi="仿宋_GB2312" w:eastAsia="仿宋_GB2312"/>
          <w:b w:val="0"/>
          <w:sz w:val="32"/>
        </w:rPr>
        <w:t>指单位为完成特定的行政工作任务或事业发展目标，在基本支出之外发生的各项支出。</w:t>
      </w:r>
    </w:p>
    <w:p>
      <w:pPr>
        <w:spacing w:lineRule="exact" w:line="600"/>
        <w:ind w:firstLine="643" w:firstLineChars="200"/>
        <w:autoSpaceDE w:val="0"/>
        <w:autoSpaceDN w:val="0"/>
      </w:pPr>
      <w:r>
        <w:rPr>
          <w:rFonts w:ascii="仿宋_GB2312" w:hAnsi="仿宋_GB2312" w:eastAsia="仿宋_GB2312"/>
          <w:b/>
          <w:sz w:val="32"/>
        </w:rPr>
        <w:t>十三、上缴上级支出：</w:t>
      </w:r>
      <w:r>
        <w:rPr>
          <w:rFonts w:ascii="仿宋_GB2312" w:hAnsi="仿宋_GB2312" w:eastAsia="仿宋_GB2312"/>
          <w:b w:val="0"/>
          <w:sz w:val="32"/>
        </w:rPr>
        <w:t>指事业单位按照财政部门和主管部门的规定上缴上级单位的支出。</w:t>
      </w:r>
    </w:p>
    <w:p>
      <w:pPr>
        <w:spacing w:lineRule="exact" w:line="600"/>
        <w:ind w:firstLine="643" w:firstLineChars="200"/>
        <w:autoSpaceDE w:val="0"/>
        <w:autoSpaceDN w:val="0"/>
      </w:pPr>
      <w:r>
        <w:rPr>
          <w:rFonts w:ascii="仿宋_GB2312" w:hAnsi="仿宋_GB2312" w:eastAsia="仿宋_GB2312"/>
          <w:b/>
          <w:sz w:val="32"/>
        </w:rPr>
        <w:t>十四、经营支出：</w:t>
      </w:r>
      <w:r>
        <w:rPr>
          <w:rFonts w:ascii="仿宋_GB2312" w:hAnsi="仿宋_GB2312" w:eastAsia="仿宋_GB2312"/>
          <w:b w:val="0"/>
          <w:sz w:val="32"/>
        </w:rPr>
        <w:t>指事业单位在专业活动及辅助活动之外开展非独立核算经营活动发生的支出。</w:t>
      </w:r>
    </w:p>
    <w:p>
      <w:pPr>
        <w:spacing w:lineRule="exact" w:line="600"/>
        <w:ind w:firstLine="643" w:firstLineChars="200"/>
        <w:autoSpaceDE w:val="0"/>
        <w:autoSpaceDN w:val="0"/>
      </w:pPr>
      <w:r>
        <w:rPr>
          <w:rFonts w:ascii="仿宋_GB2312" w:hAnsi="仿宋_GB2312" w:eastAsia="仿宋_GB2312"/>
          <w:b/>
          <w:sz w:val="32"/>
        </w:rPr>
        <w:t>十五、对附属单位补助支出：</w:t>
      </w:r>
      <w:r>
        <w:rPr>
          <w:rFonts w:ascii="仿宋_GB2312" w:hAnsi="仿宋_GB2312" w:eastAsia="仿宋_GB2312"/>
          <w:b w:val="0"/>
          <w:sz w:val="32"/>
        </w:rPr>
        <w:t>指事业单位用财政补助收入之外的收入对附属单位补助发生的支出。</w:t>
      </w:r>
    </w:p>
    <w:p>
      <w:pPr>
        <w:spacing w:lineRule="exact" w:line="600"/>
        <w:ind w:firstLine="643" w:firstLineChars="200"/>
        <w:autoSpaceDE w:val="0"/>
        <w:autoSpaceDN w:val="0"/>
      </w:pPr>
      <w:r>
        <w:rPr>
          <w:rFonts w:ascii="仿宋_GB2312" w:hAnsi="仿宋_GB2312" w:eastAsia="仿宋_GB2312"/>
          <w:b/>
          <w:sz w:val="32"/>
        </w:rPr>
        <w:t>十六、“三公”经费：</w:t>
      </w:r>
      <w:r>
        <w:rPr>
          <w:rFonts w:ascii="仿宋_GB2312" w:hAnsi="仿宋_GB2312" w:eastAsia="仿宋_GB2312"/>
          <w:b w:val="0"/>
          <w:sz w:val="32"/>
        </w:rPr>
        <w:t>指单位使用财政拨款安排的因公出国（境）费用、公务用车购置及运行维护费和公务接待费。其中，因公出国（境）费用反映单位公务出国（境）的国际旅费、国外城市间交通费、住宿费、伙食费、培训费、公杂费等支出；公务用车购置费反映公务用车购置支出（含车辆购置税、牌照费）；公务用车运行维护费反映单位按规定保留的公务用车燃料费、新能源汽车充电费、维修费、过路过桥费、保险费、安全奖励费用等支出；公务接待费反映单位按规定开支的各类公务接待（含外宾接待）费用。</w:t>
      </w:r>
    </w:p>
    <w:p>
      <w:pPr>
        <w:spacing w:lineRule="exact" w:line="600"/>
        <w:ind w:firstLine="643" w:firstLineChars="200"/>
        <w:autoSpaceDE w:val="0"/>
        <w:autoSpaceDN w:val="0"/>
      </w:pPr>
      <w:r>
        <w:rPr>
          <w:rFonts w:ascii="仿宋_GB2312" w:hAnsi="仿宋_GB2312" w:eastAsia="仿宋_GB2312"/>
          <w:b/>
          <w:sz w:val="32"/>
        </w:rPr>
        <w:t>十七、机关运行经费：</w:t>
      </w:r>
      <w:r>
        <w:rPr>
          <w:rFonts w:ascii="仿宋_GB2312" w:hAnsi="仿宋_GB2312" w:eastAsia="仿宋_GB2312"/>
          <w:b w:val="0"/>
          <w:sz w:val="32"/>
        </w:rPr>
        <w:t>指行政单位和参照公务员法管理的事业单位财政拨款基本支出中的公用经费支出。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Rule="exact" w:line="600"/>
        <w:ind w:firstLine="643" w:firstLineChars="200"/>
        <w:autoSpaceDE w:val="0"/>
        <w:autoSpaceDN w:val="0"/>
      </w:pPr>
      <w:r>
        <w:rPr>
          <w:rFonts w:ascii="仿宋_GB2312" w:hAnsi="仿宋_GB2312" w:eastAsia="仿宋_GB2312"/>
          <w:b w:val="0"/>
          <w:sz w:val="32"/>
        </w:rPr>
        <w:t>一、《收入支出决算总表》</w:t>
      </w:r>
    </w:p>
    <w:p>
      <w:pPr>
        <w:spacing w:lineRule="exact" w:line="600"/>
        <w:ind w:firstLine="643" w:firstLineChars="200"/>
        <w:autoSpaceDE w:val="0"/>
        <w:autoSpaceDN w:val="0"/>
      </w:pPr>
      <w:r>
        <w:rPr>
          <w:rFonts w:ascii="仿宋_GB2312" w:hAnsi="仿宋_GB2312" w:eastAsia="仿宋_GB2312"/>
          <w:b w:val="0"/>
          <w:sz w:val="32"/>
        </w:rPr>
        <w:t>二、《收入决算表》</w:t>
      </w:r>
    </w:p>
    <w:p>
      <w:pPr>
        <w:spacing w:lineRule="exact" w:line="600"/>
        <w:ind w:firstLine="643" w:firstLineChars="200"/>
        <w:autoSpaceDE w:val="0"/>
        <w:autoSpaceDN w:val="0"/>
      </w:pPr>
      <w:r>
        <w:rPr>
          <w:rFonts w:ascii="仿宋_GB2312" w:hAnsi="仿宋_GB2312" w:eastAsia="仿宋_GB2312"/>
          <w:b w:val="0"/>
          <w:sz w:val="32"/>
        </w:rPr>
        <w:t>三、《支出决算表》</w:t>
      </w:r>
    </w:p>
    <w:p>
      <w:pPr>
        <w:spacing w:lineRule="exact" w:line="600"/>
        <w:ind w:firstLine="643" w:firstLineChars="200"/>
        <w:autoSpaceDE w:val="0"/>
        <w:autoSpaceDN w:val="0"/>
      </w:pPr>
      <w:r>
        <w:rPr>
          <w:rFonts w:ascii="仿宋_GB2312" w:hAnsi="仿宋_GB2312" w:eastAsia="仿宋_GB2312"/>
          <w:b w:val="0"/>
          <w:sz w:val="32"/>
        </w:rPr>
        <w:t>四、《财政拨款收入支出决算总表》</w:t>
      </w:r>
    </w:p>
    <w:p>
      <w:pPr>
        <w:spacing w:lineRule="exact" w:line="600"/>
        <w:ind w:firstLine="643" w:firstLineChars="200"/>
        <w:autoSpaceDE w:val="0"/>
        <w:autoSpaceDN w:val="0"/>
      </w:pPr>
      <w:r>
        <w:rPr>
          <w:rFonts w:ascii="仿宋_GB2312" w:hAnsi="仿宋_GB2312" w:eastAsia="仿宋_GB2312"/>
          <w:b w:val="0"/>
          <w:sz w:val="32"/>
        </w:rPr>
        <w:t>五、《一般公共预算财政拨款支出决算表》</w:t>
      </w:r>
    </w:p>
    <w:p>
      <w:pPr>
        <w:spacing w:lineRule="exact" w:line="600"/>
        <w:ind w:firstLine="643" w:firstLineChars="200"/>
        <w:autoSpaceDE w:val="0"/>
        <w:autoSpaceDN w:val="0"/>
      </w:pPr>
      <w:r>
        <w:rPr>
          <w:rFonts w:ascii="仿宋_GB2312" w:hAnsi="仿宋_GB2312" w:eastAsia="仿宋_GB2312"/>
          <w:b w:val="0"/>
          <w:sz w:val="32"/>
        </w:rPr>
        <w:t>六、《一般公共预算财政拨款基本支出决算表》</w:t>
      </w:r>
    </w:p>
    <w:p>
      <w:pPr>
        <w:spacing w:lineRule="exact" w:line="600"/>
        <w:ind w:firstLine="643" w:firstLineChars="200"/>
        <w:autoSpaceDE w:val="0"/>
        <w:autoSpaceDN w:val="0"/>
      </w:pPr>
      <w:r>
        <w:rPr>
          <w:rFonts w:ascii="仿宋_GB2312" w:hAnsi="仿宋_GB2312" w:eastAsia="仿宋_GB2312"/>
          <w:b w:val="0"/>
          <w:sz w:val="32"/>
        </w:rPr>
        <w:t>七、《政府性基金预算财政拨款收入支出决算表》</w:t>
      </w:r>
    </w:p>
    <w:p>
      <w:pPr>
        <w:spacing w:lineRule="exact" w:line="600"/>
        <w:ind w:firstLine="643" w:firstLineChars="200"/>
        <w:autoSpaceDE w:val="0"/>
        <w:autoSpaceDN w:val="0"/>
      </w:pPr>
      <w:r>
        <w:rPr>
          <w:rFonts w:ascii="仿宋_GB2312" w:hAnsi="仿宋_GB2312" w:eastAsia="仿宋_GB2312"/>
          <w:b w:val="0"/>
          <w:sz w:val="32"/>
        </w:rPr>
        <w:t>八、《国有资本经营预算财政拨款收入支出决算表》</w:t>
      </w:r>
    </w:p>
    <w:p>
      <w:pPr>
        <w:spacing w:lineRule="exact" w:line="600"/>
        <w:ind w:firstLine="643" w:firstLineChars="200"/>
        <w:autoSpaceDE w:val="0"/>
        <w:autoSpaceDN w:val="0"/>
      </w:pPr>
      <w:r>
        <w:rPr>
          <w:rFonts w:ascii="仿宋_GB2312" w:hAnsi="仿宋_GB2312" w:eastAsia="仿宋_GB2312"/>
          <w:b w:val="0"/>
          <w:sz w:val="32"/>
        </w:rPr>
        <w:t>九、《财政拨款“三公”经费支出决算表》</w:t>
      </w:r>
    </w:p>
    <w:p>
      <w:pPr>
        <w:spacing w:lineRule="exact" w:line="600"/>
        <w:ind w:firstLine="643" w:firstLineChars="200"/>
        <w:autoSpaceDE w:val="0"/>
        <w:autoSpaceDN w:val="0"/>
      </w:pPr>
    </w:p>
    <w:p>
      <w:pPr>
        <w:spacing w:lineRule="exact" w:line="600"/>
        <w:ind w:firstLine="643" w:firstLineChars="200"/>
        <w:autoSpaceDE w:val="0"/>
        <w:autoSpaceDN w:val="0"/>
      </w:pPr>
    </w:p>
    <w:p>
      <w:pPr>
        <w:spacing w:lineRule="exact" w:line="600"/>
        <w:ind w:firstLine="643" w:firstLineChars="200"/>
        <w:autoSpaceDE w:val="0"/>
        <w:autoSpaceDN w:val="0"/>
      </w:pPr>
    </w:p>
    <w:p>
      <w:pPr>
        <w:spacing w:lineRule="exact" w:line="600"/>
        <w:ind w:firstLine="643" w:firstLineChars="200"/>
        <w:autoSpaceDE w:val="0"/>
        <w:autoSpaceDN w:val="0"/>
      </w:pPr>
    </w:p>
    <w:p>
      <w:pPr>
        <w:spacing w:lineRule="exact" w:line="600"/>
        <w:ind w:firstLine="643" w:firstLineChars="200"/>
        <w:autoSpaceDE w:val="0"/>
        <w:autoSpaceDN w:val="0"/>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EA382358-5FB0-4BFB-AA9D-340FD89383CE}"/>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altName w:val="微软雅黑"/>
    <w:panose1 w:val="00000000000000000000"/>
    <w:charset w:val="86"/>
    <w:family w:val="script"/>
    <w:pitch w:val="default"/>
    <w:sig w:usb0="00000000" w:usb1="00000000" w:usb2="00082016" w:usb3="00000000" w:csb0="00040001" w:csb1="00000000"/>
    <w:embedRegular r:id="rId2" w:fontKey="{B0E6D792-6E8F-4F84-99FA-9970FA3A7C22}"/>
  </w:font>
  <w:font w:name="仿宋_GB2312">
    <w:altName w:val="微软雅黑"/>
    <w:panose1 w:val="02010609030101010101"/>
    <w:charset w:val="86"/>
    <w:family w:val="modern"/>
    <w:pitch w:val="default"/>
    <w:sig w:usb0="00000001" w:usb1="080E0000" w:usb2="00000000" w:usb3="00000000" w:csb0="00040000" w:csb1="00000000"/>
    <w:embedRegular r:id="rId3" w:fontKey="{45C515A8-30E2-40B7-BB08-E73601327DDD}"/>
  </w:font>
  <w:font w:name="微软雅黑">
    <w:panose1 w:val="020B0503020204020204"/>
    <w:charset w:val="86"/>
    <w:family w:val="auto"/>
    <w:pitch w:val="default"/>
    <w:sig w:usb0="80000287" w:usb1="2ACF3C50" w:usb2="00000016" w:usb3="00000000" w:csb0="0004001F" w:csb1="00000000"/>
  </w:font>
  <w:font w:name="KSOF8080F95D">
    <w:panose1 w:val="020B0503020204020204"/>
    <w:charset w:val="86"/>
    <w:family w:val="auto"/>
    <w:pitch w:val="default"/>
    <w:sig w:usb0="00000001" w:usb1="00000000" w:usb2="00000000" w:usb3="00000000" w:csb0="00040001" w:csb1="00000000"/>
  </w:font>
  <w:font w:name="WPSEMBED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1994FD">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06890CC">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rY5ptYBAACyAwAADgAAAGRycy9lMm9Eb2MueG1srVPNjtMwEL4j8Q6W&#10;7zRpD6iKmq6AahESAqSFB3Adp7HkP3mmTcoDwBtw4sKd5+pzMHaS7rJc9sAlGY/H33zf5/HmZrCG&#10;nVQE7V3Nl4uSM+Wkb7Q71PzL59sXa84AhWuE8U7V/KyA32yfP9v0oVIr33nTqMgIxEHVh5p3iKEq&#10;CpCdsgIWPihHm62PViAt46FoougJ3ZpiVZYvi97HJkQvFQBld+MmnxDjUwB922qpdl4erXI4okZl&#10;BJIk6HQAvs1s21ZJ/Ni2oJCZmpNSzF9qQvE+fYvtRlSHKEKn5URBPIXCI01WaEdNr1A7gYIdo/4H&#10;ymoZPfgWF9LbYhSSHSEVy/KRN3edCCprIashXE2H/wcrP5w+RaYbmgTOnLB04Zcf3y8/f19+fWPL&#10;ZE8foKKqu0B1OLz2Qyqd8kDJpHpoo01/0sNon8w9X81VAzKZDq1X63VJW5L25gXhFPfHQwR8q7xl&#10;Kah5pNvLporTe8CxdC5J3Zy/1cZQXlTG/ZUgzJQpEveRY4pw2A8T8b1vzqSHngH16Xz8yllPQ1Bz&#10;RzPPmXnnyOM0L3MQ52A/B8JJOlhz5GwM32Ceq0QEwqsjErtMOrUe+02M6Cqz7Gns0qw8XOeq+6e2&#10;/Q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OqXm5zwAAAAUBAAAPAAAAAAAAAAEAIAAAACIAAABk&#10;cnMvZG93bnJldi54bWxQSwECFAAUAAAACACHTuJA6rY5ptYBAACyAwAADgAAAAAAAAABACAAAAAe&#10;AQAAZHJzL2Uyb0RvYy54bWxQSwUGAAAAAAYABgBZAQAAZgUAAAAA&#10;">
              <v:fill on="f" focussize="0,0"/>
              <v:stroke on="f"/>
              <v:imagedata o:title=""/>
              <o:lock v:ext="edit" aspectratio="f"/>
              <v:textbox inset="0mm,0mm,0mm,0mm" style="mso-fit-shape-to-text:t;">
                <w:txbxContent>
                  <w:p w14:paraId="106890CC">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AwYmRmZTlkODBlYWI2MWEzOGMyNWRlOTFmY2QzMTQifQ=="/>
  </w:docVars>
  <w:rsids>
    <w:rsidRoot w:val="00672051"/>
    <w:rsid w:val="000D14C6"/>
    <w:rsid w:val="002D017C"/>
    <w:rsid w:val="0039186B"/>
    <w:rsid w:val="00644722"/>
    <w:rsid w:val="00672051"/>
    <w:rsid w:val="006B29E4"/>
    <w:rsid w:val="00702FBA"/>
    <w:rsid w:val="00982448"/>
    <w:rsid w:val="009D5C6A"/>
    <w:rsid w:val="00A22425"/>
    <w:rsid w:val="00D34B7C"/>
    <w:rsid w:val="00F14B19"/>
    <w:rsid w:val="02F73D26"/>
    <w:rsid w:val="034D4FEF"/>
    <w:rsid w:val="03DE0026"/>
    <w:rsid w:val="03E2747C"/>
    <w:rsid w:val="043E5B56"/>
    <w:rsid w:val="04EF7C1A"/>
    <w:rsid w:val="06792773"/>
    <w:rsid w:val="06896151"/>
    <w:rsid w:val="09A729D8"/>
    <w:rsid w:val="0A7B4867"/>
    <w:rsid w:val="0AC260D6"/>
    <w:rsid w:val="0B8C3ECC"/>
    <w:rsid w:val="0BC24C29"/>
    <w:rsid w:val="0C3613A3"/>
    <w:rsid w:val="0C7227A7"/>
    <w:rsid w:val="0DCA6EF7"/>
    <w:rsid w:val="0E4B1576"/>
    <w:rsid w:val="11E15093"/>
    <w:rsid w:val="120E0809"/>
    <w:rsid w:val="181A30AD"/>
    <w:rsid w:val="1875698D"/>
    <w:rsid w:val="19071D6C"/>
    <w:rsid w:val="1C317E4F"/>
    <w:rsid w:val="1C472464"/>
    <w:rsid w:val="1DAF458D"/>
    <w:rsid w:val="1E086ACE"/>
    <w:rsid w:val="1EAA4A5F"/>
    <w:rsid w:val="1F040613"/>
    <w:rsid w:val="1F587A0B"/>
    <w:rsid w:val="1FE96E5D"/>
    <w:rsid w:val="2064678E"/>
    <w:rsid w:val="20DD6197"/>
    <w:rsid w:val="21F317F2"/>
    <w:rsid w:val="2241392C"/>
    <w:rsid w:val="23BC04D2"/>
    <w:rsid w:val="25275618"/>
    <w:rsid w:val="27CF2642"/>
    <w:rsid w:val="282459E2"/>
    <w:rsid w:val="2A053397"/>
    <w:rsid w:val="2A444FB1"/>
    <w:rsid w:val="2A6064E2"/>
    <w:rsid w:val="2BA9200B"/>
    <w:rsid w:val="2D1136DF"/>
    <w:rsid w:val="2DAE0E44"/>
    <w:rsid w:val="2EB07E70"/>
    <w:rsid w:val="2F9E416C"/>
    <w:rsid w:val="2FD27414"/>
    <w:rsid w:val="313F1D52"/>
    <w:rsid w:val="318029AB"/>
    <w:rsid w:val="319D6C1C"/>
    <w:rsid w:val="31C63837"/>
    <w:rsid w:val="326F0A17"/>
    <w:rsid w:val="34623382"/>
    <w:rsid w:val="390019F4"/>
    <w:rsid w:val="3914510A"/>
    <w:rsid w:val="3B1220C9"/>
    <w:rsid w:val="3D5275AC"/>
    <w:rsid w:val="3D55093B"/>
    <w:rsid w:val="3EA7725F"/>
    <w:rsid w:val="40834692"/>
    <w:rsid w:val="423A32B2"/>
    <w:rsid w:val="464B7E04"/>
    <w:rsid w:val="46901EEE"/>
    <w:rsid w:val="469C74D2"/>
    <w:rsid w:val="47445515"/>
    <w:rsid w:val="48E21116"/>
    <w:rsid w:val="49C97D5C"/>
    <w:rsid w:val="49F5131D"/>
    <w:rsid w:val="4AE426AE"/>
    <w:rsid w:val="4B4C0111"/>
    <w:rsid w:val="4D3F1CC6"/>
    <w:rsid w:val="4D730311"/>
    <w:rsid w:val="505A358E"/>
    <w:rsid w:val="50DB5F45"/>
    <w:rsid w:val="52F92565"/>
    <w:rsid w:val="55DA564E"/>
    <w:rsid w:val="56E07045"/>
    <w:rsid w:val="583059FA"/>
    <w:rsid w:val="587E6212"/>
    <w:rsid w:val="58D10A34"/>
    <w:rsid w:val="59973ABF"/>
    <w:rsid w:val="5A74678C"/>
    <w:rsid w:val="5AFC6609"/>
    <w:rsid w:val="5C3B09A8"/>
    <w:rsid w:val="5FA17648"/>
    <w:rsid w:val="613409CB"/>
    <w:rsid w:val="61A46A97"/>
    <w:rsid w:val="62DD7D21"/>
    <w:rsid w:val="65D97752"/>
    <w:rsid w:val="664C500C"/>
    <w:rsid w:val="670267B3"/>
    <w:rsid w:val="6773145F"/>
    <w:rsid w:val="68DB0208"/>
    <w:rsid w:val="69846A0E"/>
    <w:rsid w:val="69AD798C"/>
    <w:rsid w:val="6B68175F"/>
    <w:rsid w:val="6B8B5C99"/>
    <w:rsid w:val="6E0F7A08"/>
    <w:rsid w:val="6E801ABC"/>
    <w:rsid w:val="71473612"/>
    <w:rsid w:val="716B13F9"/>
    <w:rsid w:val="718F7F65"/>
    <w:rsid w:val="73423603"/>
    <w:rsid w:val="73DE4104"/>
    <w:rsid w:val="73FB6630"/>
    <w:rsid w:val="74CE04EC"/>
    <w:rsid w:val="74E76DCD"/>
    <w:rsid w:val="76660D7C"/>
    <w:rsid w:val="76CF72D3"/>
    <w:rsid w:val="77ED6F44"/>
    <w:rsid w:val="78B87A58"/>
    <w:rsid w:val="795A0A34"/>
    <w:rsid w:val="79FB30B5"/>
    <w:rsid w:val="7A0D3BC7"/>
    <w:rsid w:val="7A3A3CDB"/>
    <w:rsid w:val="7EAC4F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9">
    <w:name w:val="Default Paragraph Font"/>
    <w:semiHidden/>
    <w:unhideWhenUsed/>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customStyle="1" w:styleId="10">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1">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2">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0D2BC71-196F-4E8D-B958-07750D1EE8B3}">
  <ds:schemaRefs/>
</ds:datastoreItem>
</file>

<file path=docProps/app.xml><?xml version="1.0" encoding="utf-8"?>
<Properties xmlns="http://schemas.openxmlformats.org/officeDocument/2006/extended-properties" xmlns:vt="http://schemas.openxmlformats.org/officeDocument/2006/docPropsVTypes">
  <Template>Normal.dotm</Template>
  <Pages>3</Pages>
  <Words>519</Words>
  <Characters>537</Characters>
  <Lines>10</Lines>
  <Paragraphs>2</Paragraphs>
  <TotalTime>7</TotalTime>
  <ScaleCrop>false</ScaleCrop>
  <LinksUpToDate>false</LinksUpToDate>
  <CharactersWithSpaces>543</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2026-07-22T07:37:00Z</dcterms:created>
  <dc:creator>GXR</dc:creator>
  <cp:lastModifiedBy>净</cp:lastModifiedBy>
  <cp:lastPrinted>2024-07-22T11:58:00Z</cp:lastPrinted>
  <dcterms:modified xsi:type="dcterms:W3CDTF">2026-08-25T03:09:34Z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8FDA567F26D84A8C8A1B02E29FDE1AE6_13</vt:lpwstr>
  </property>
  <property fmtid="{D5CDD505-2E9C-101B-9397-08002B2CF9AE}" pid="4" name="KSOTemplateDocerSaveRecord">
    <vt:lpwstr>eyJoZGlkIjoiYzdkNWY5OGM4OTRiMDBlYmMyNmZmZGZhMDgxMzY1MzQiLCJ1c2VySWQiOiI0MDU5MTQxNzUifQ==</vt:lpwstr>
  </property>
</Properties>
</file>