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吉木萨尔县互联网信息办公室</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实现互联网信息传播方针政策和推动互联网信息传播法制建设，指导、协调、督促有关部门加强互联网信息内容管理，负责网络新闻业务及其他相关业务的审批和日常监管，指导有关部门做好网络游戏、网络视听、网络出版等网络文化领域业务布局规划，协调有关部门做好网络文化阵地建设的规划和实施工作，负责重点新闻网站的规划建设，组织、协调网上宣传工作，依法查处违法违规网站，指导有关部门督促电信运营企业、接入服务企业、域名注册管理和服务机构等做好域名注册、互联网地址(IP地址)分配、网站登记备案、接入等互联网基础管机构设置情况。</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吉木萨尔县互联网信息办公室无下属预算单位。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2025年度收入总计494.69万元，</w:t>
      </w:r>
      <w:r>
        <w:rPr>
          <w:rFonts w:ascii="仿宋_GB2312" w:hAnsi="仿宋_GB2312" w:eastAsia="仿宋_GB2312"/>
          <w:b w:val="0"/>
          <w:sz w:val="32"/>
        </w:rPr>
        <w:t>其中：本年收入合计490.70万元，使用非财政拨款结余（含专用结余）0.00万元，年初结转和结余3.99万元。</w:t>
      </w:r>
    </w:p>
    <w:p>
      <w:pPr>
        <w:spacing w:line="580" w:lineRule="exact"/>
        <w:ind w:firstLine="640"/>
        <w:jc w:val="both"/>
      </w:pPr>
      <w:r>
        <w:rPr>
          <w:rFonts w:ascii="仿宋_GB2312" w:hAnsi="仿宋_GB2312" w:eastAsia="仿宋_GB2312"/>
          <w:b/>
          <w:sz w:val="32"/>
        </w:rPr>
        <w:t>2025年度支出总计494.69万元，</w:t>
      </w:r>
      <w:r>
        <w:rPr>
          <w:rFonts w:ascii="仿宋_GB2312" w:hAnsi="仿宋_GB2312" w:eastAsia="仿宋_GB2312"/>
          <w:b w:val="0"/>
          <w:sz w:val="32"/>
        </w:rPr>
        <w:t>其中：本年支出合计491.76万元，结余分配0.00万元，年末结转和结余2.93万元。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增加109.76万元，增长28.51%，主要原因是：本年在职人员工资调增，社保、公积金基数调增，人员经费增加，本年互联网信息软件服务费等项目资金较上年增加。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本年收入490.70万元，</w:t>
      </w:r>
      <w:r>
        <w:rPr>
          <w:rFonts w:ascii="仿宋_GB2312" w:hAnsi="仿宋_GB2312" w:eastAsia="仿宋_GB2312"/>
          <w:b w:val="0"/>
          <w:sz w:val="32"/>
        </w:rPr>
        <w:t>其中：财政拨款收入480.44万元，占97.91%；上级补助收入0.00万元，占0.00%；事业收入0.00万元，占0.00%；经营收入0.00万元，占0.00%；附属单位上缴收入0.00万元，占0.00%；其他收入10.26万元，占2.09%。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本年支出491.76万元，</w:t>
      </w:r>
      <w:r>
        <w:rPr>
          <w:rFonts w:ascii="仿宋_GB2312" w:hAnsi="仿宋_GB2312" w:eastAsia="仿宋_GB2312"/>
          <w:b w:val="0"/>
          <w:sz w:val="32"/>
        </w:rPr>
        <w:t>其中：基本支出408.39万元，占83.05%；项目支出83.37万元，占16.95%；上缴上级支出0.00万元，占0.00%；经营支出0.00万元，占0.00%；对附属单位补助支出0.00万元，占0.00%。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2025年度财政拨款收入总计480.44万元，</w:t>
      </w:r>
      <w:r>
        <w:rPr>
          <w:rFonts w:ascii="仿宋_GB2312" w:hAnsi="仿宋_GB2312" w:eastAsia="仿宋_GB2312"/>
          <w:b w:val="0"/>
          <w:sz w:val="32"/>
        </w:rPr>
        <w:t>其中：年初财政拨款结转和结余0.00万元，本年财政拨款收入480.44万元。</w:t>
      </w:r>
      <w:r>
        <w:rPr>
          <w:rFonts w:ascii="仿宋_GB2312" w:hAnsi="仿宋_GB2312" w:eastAsia="仿宋_GB2312"/>
          <w:b/>
          <w:sz w:val="32"/>
        </w:rPr>
        <w:t>财政拨款支出总计480.44万元，</w:t>
      </w:r>
      <w:r>
        <w:rPr>
          <w:rFonts w:ascii="仿宋_GB2312" w:hAnsi="仿宋_GB2312" w:eastAsia="仿宋_GB2312"/>
          <w:b w:val="0"/>
          <w:sz w:val="32"/>
        </w:rPr>
        <w:t>其中：年末财政拨款结转和结余0.00万元，本年财政拨款支出480.44万元。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增加100.12万元，增长26.33%，主要原因是：本年在职人员工资调增，社保、公积金基数调增，人员经费增加，本年互联网信息软件服务费等项目资金增加。</w:t>
      </w:r>
      <w:r>
        <w:rPr>
          <w:rFonts w:ascii="仿宋_GB2312" w:hAnsi="仿宋_GB2312" w:eastAsia="仿宋_GB2312"/>
          <w:b/>
          <w:sz w:val="32"/>
        </w:rPr>
        <w:t>与年初预算相比，</w:t>
      </w:r>
      <w:r>
        <w:rPr>
          <w:rFonts w:ascii="仿宋_GB2312" w:hAnsi="仿宋_GB2312" w:eastAsia="仿宋_GB2312"/>
          <w:b w:val="0"/>
          <w:sz w:val="32"/>
        </w:rPr>
        <w:t>年初预算数405.08万元，决算数480.44万元，预决算差异率18.60%，主要原因是：本年在职人员工资调增，社保、公积金基数调增，人员经费增加，本年互联网信息软件服务费等项目资金增加。</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人员经费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按照支出功能分类，一般公共服务支出（类）网信事务（款）事业运行（项）的支出占本年财政拨款支出总额的比重最高，2025年度决算数为191.24万元，占比39.81%，主要用于人员工资福利等。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2025年度一般公共预算财政拨款支出480.44万元，</w:t>
      </w:r>
      <w:r>
        <w:rPr>
          <w:rFonts w:ascii="仿宋_GB2312" w:hAnsi="仿宋_GB2312" w:eastAsia="仿宋_GB2312"/>
          <w:b w:val="0"/>
          <w:sz w:val="32"/>
        </w:rPr>
        <w:t>占本年支出合计的97.70%。</w:t>
      </w:r>
      <w:r>
        <w:rPr>
          <w:rFonts w:ascii="仿宋_GB2312" w:hAnsi="仿宋_GB2312" w:eastAsia="仿宋_GB2312"/>
          <w:b/>
          <w:sz w:val="32"/>
        </w:rPr>
        <w:t>与上年相比，</w:t>
      </w:r>
      <w:r>
        <w:rPr>
          <w:rFonts w:ascii="仿宋_GB2312" w:hAnsi="仿宋_GB2312" w:eastAsia="仿宋_GB2312"/>
          <w:b w:val="0"/>
          <w:sz w:val="32"/>
        </w:rPr>
        <w:t>增加100.12万元，增长26.33%，主要原因是：本年在职人员工资调增，社保、公积金基数调增，人员经费增加，本年互联网信息软件服务费等项目资金较上年增加。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年初预算数405.08万元，决算数480.44万元，预决算差异率18.60%，主要原因是：年中追加人员工资、社保、公积金基数调增部分资金，导致预决算存在差异。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1.一般公共服务支出（类）357.61万元，占74.43%。</w:t>
      </w:r>
    </w:p>
    <w:p>
      <w:pPr>
        <w:spacing w:line="580" w:lineRule="exact"/>
        <w:ind w:firstLine="640"/>
        <w:jc w:val="both"/>
      </w:pPr>
      <w:r>
        <w:rPr>
          <w:rFonts w:ascii="仿宋_GB2312" w:hAnsi="仿宋_GB2312" w:eastAsia="仿宋_GB2312"/>
          <w:b w:val="0"/>
          <w:sz w:val="32"/>
        </w:rPr>
        <w:t>2.社会保障和就业支出（类）54.85万元，占11.42%。</w:t>
      </w:r>
    </w:p>
    <w:p>
      <w:pPr>
        <w:spacing w:line="580" w:lineRule="exact"/>
        <w:ind w:firstLine="640"/>
        <w:jc w:val="both"/>
      </w:pPr>
      <w:r>
        <w:rPr>
          <w:rFonts w:ascii="仿宋_GB2312" w:hAnsi="仿宋_GB2312" w:eastAsia="仿宋_GB2312"/>
          <w:b w:val="0"/>
          <w:sz w:val="32"/>
        </w:rPr>
        <w:t>3.卫生健康支出（类）28.13万元，占5.86%。</w:t>
      </w:r>
    </w:p>
    <w:p>
      <w:pPr>
        <w:spacing w:line="580" w:lineRule="exact"/>
        <w:ind w:firstLine="640"/>
        <w:jc w:val="both"/>
      </w:pPr>
      <w:r>
        <w:rPr>
          <w:rFonts w:ascii="仿宋_GB2312" w:hAnsi="仿宋_GB2312" w:eastAsia="仿宋_GB2312"/>
          <w:b w:val="0"/>
          <w:sz w:val="32"/>
        </w:rPr>
        <w:t>4.城乡社区支出（类）15.00万元，占3.12%。</w:t>
      </w:r>
    </w:p>
    <w:p>
      <w:pPr>
        <w:spacing w:line="580" w:lineRule="exact"/>
        <w:ind w:firstLine="640"/>
        <w:jc w:val="both"/>
      </w:pPr>
      <w:r>
        <w:rPr>
          <w:rFonts w:ascii="仿宋_GB2312" w:hAnsi="仿宋_GB2312" w:eastAsia="仿宋_GB2312"/>
          <w:b w:val="0"/>
          <w:sz w:val="32"/>
        </w:rPr>
        <w:t>5.住房保障支出（类）24.85万元，占5.17%。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1.一般公共服务支出（类）网信事务（款）行政运行（项）：支出决算数为93.23万元，比上年决算增加5.19万元，增长5.90%，主要原因是：本年在职人员工资调增，导致相关人员经费较上年有所增加。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2.一般公共服务支出（类）网信事务（款）信息安全事务（项）：支出决算数为73.14万元，比上年决算增加58.14万元，增长387.60%，主要原因是：本年互联网信息软件服务费等项目资金较上年增加。</w:t>
      </w:r>
    </w:p>
    <w:p>
      <w:pPr>
        <w:spacing w:line="580" w:lineRule="exact"/>
        <w:ind w:firstLine="640"/>
        <w:jc w:val="both"/>
      </w:pPr>
      <w:r>
        <w:rPr>
          <w:rFonts w:ascii="仿宋_GB2312" w:hAnsi="仿宋_GB2312" w:eastAsia="仿宋_GB2312"/>
          <w:b w:val="0"/>
          <w:sz w:val="32"/>
        </w:rPr>
        <w:t>3.一般公共服务支出（类）网信事务（款）事业运行（项）：支出决算数为191.24万元，比上年决算增加9.87万元，增长5.44%，主要原因是：本年在职人员工资调增，导致相关人员经费较上年有所增加。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4.一般公共服务支出（类）网信事务（款）其他网信事务支出（项）：支出决算数为0.00万元，比上年决算减少2.46万元，下降100.00%，主要原因是：本年减少wljb奖励资金。</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5.科学技术支出（类）科技条件与服务（款）其他科技条件与服务支出（项）：支出决算数为0.00万元，比上年决算减少4.19万元，下降100.00%，主要原因是：本年减少购买电脑资金。</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33.30万元，比上年决算增加1.38万元，增长4.32%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21.55万元，比上年决算增加5.39万元，增长33.35%，主要原因是：本年在职人员工资基数调增，职业年金基数上涨，相应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8.卫生健康支出（类）行政事业单位医疗（款）行政单位医疗（项）：支出决算数为2.85万元，比上年决算增加1.20万元，增长72.73%，主要原因是：本年在职人员工资基数调增，医疗基数上涨，相应支出增加。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9.卫生健康支出（类）行政事业单位医疗（款）事业单位医疗（项）：支出决算数为16.95万元，比上年决算增加2.35万元，增长16.10%，主要原因是：本年在职人员工资基数调增，医疗缴费基数上涨，相应支出增加。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8.32万元，比上年决算增加7.32万元，增长732.00%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11.城乡社区支出（类）城乡社区管理事务（款）其他城乡社区管理事务支出（项）：支出决算数为15.00万元，比上年决算增加15.00万元，增长100.00%，主要原因是：本年增加为民办实事经费。</w:t>
      </w:r>
    </w:p>
    <w:p>
      <w:pPr>
        <w:spacing w:line="580" w:lineRule="exact"/>
        <w:ind w:firstLine="640"/>
        <w:jc w:val="both"/>
      </w:pPr>
      <w:r>
        <w:rPr>
          <w:rFonts w:ascii="仿宋_GB2312" w:hAnsi="仿宋_GB2312" w:eastAsia="仿宋_GB2312"/>
          <w:b w:val="0"/>
          <w:sz w:val="32"/>
        </w:rPr>
        <w:t>12.住房保障支出（类）住房改革支出（款）住房公积金（项）：支出决算数为24.85万元，比上年决算增加0.90万元，增长3.76%，主要原因是：本年在职人员工资基数调增，公积金缴费基数上涨，相应支出增加。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2025年度一般公共预算财政拨款基本支出407.30万元，其中：</w:t>
      </w:r>
      <w:r>
        <w:rPr>
          <w:rFonts w:ascii="仿宋_GB2312" w:hAnsi="仿宋_GB2312" w:eastAsia="仿宋_GB2312"/>
          <w:b/>
          <w:sz w:val="32"/>
        </w:rPr>
        <w:t>人员经费373.23万元，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抚恤金、奖励金、其他对个人和家庭的补助。</w:t>
      </w:r>
    </w:p>
    <w:p>
      <w:pPr>
        <w:spacing w:line="580" w:lineRule="exact"/>
        <w:ind w:firstLine="640"/>
        <w:jc w:val="both"/>
      </w:pPr>
      <w:r>
        <w:rPr>
          <w:rFonts w:ascii="仿宋_GB2312" w:hAnsi="仿宋_GB2312" w:eastAsia="仿宋_GB2312"/>
          <w:b/>
          <w:sz w:val="32"/>
        </w:rPr>
        <w:t>公用经费34.07万元，</w:t>
      </w:r>
      <w:r>
        <w:rPr>
          <w:rFonts w:ascii="仿宋_GB2312" w:hAnsi="仿宋_GB2312" w:eastAsia="仿宋_GB2312"/>
          <w:b w:val="0"/>
          <w:sz w:val="32"/>
        </w:rPr>
        <w:t>包括：办公费、印刷费、邮电费、差旅费、公务接待费、委托业务费、工会经费、其他交通费用。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2025年度财政拨款“三公”经费支出0.50万元，</w:t>
      </w:r>
      <w:r>
        <w:rPr>
          <w:rFonts w:ascii="仿宋_GB2312" w:hAnsi="仿宋_GB2312" w:eastAsia="仿宋_GB2312"/>
          <w:b w:val="0"/>
          <w:sz w:val="32"/>
        </w:rPr>
        <w:t>比上年增加0.50万元，增长100.00%，主要原因是：本年因业务需求，增加公务接待工作，导致公务接待费较上年增加。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公务接待费支出0.50万元，占100.00%，比上年增加0.50万元，增长100.00%，主要原因是：本年因业务需求，增加公务接待工作，导致公务接待费较上年增加。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公务接待费0.50万元，开支内容包括本年因业务需求，增加公务接待工作，导致公务接待费较上年增加。单位全年安排的国内公务接待3批次，15人次。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0.50万元，决算数0.50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0.50万元，决算数0.50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2025年度吉木萨尔县互联网信息办公室（行政单位和参照公务员法管理事业单位）机关运行经费支出34.07万元，比上年增加14.86万元，增长77.36%，主要原因是：本年业务量增加，公用经费增加。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2025年度政府采购支出总额1.36万元，其中：政府采购货物支出1.13万元、政府采购工程支出0.00万元、政府采购服务支出0.23万元。</w:t>
      </w:r>
    </w:p>
    <w:p>
      <w:pPr>
        <w:spacing w:line="580" w:lineRule="exact"/>
        <w:ind w:firstLine="640"/>
        <w:jc w:val="both"/>
      </w:pPr>
      <w:r>
        <w:rPr>
          <w:rFonts w:ascii="仿宋_GB2312" w:hAnsi="仿宋_GB2312" w:eastAsia="仿宋_GB2312"/>
          <w:b w:val="0"/>
          <w:sz w:val="32"/>
        </w:rPr>
        <w:t>授予中小企业合同金额1.36万元，占政府采购支出总额的100.00%，其中：授予小微企业合同金额1.36万元，占政府采购支出总额的100.00%。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494.69万元，实际执行总额491.76万元；预算绩效评价项目0个，全年预算数0.00万元，全年执行数0.00万元。预算绩效管理取得的成效：一是坚持党建引领，夯实网信队伍建设。发挥示范引领作用。强化干部监督执纪，以月促效卓有成效；二是加强正面引导，网络传播成效显著。发挥矩阵传播作用。文化润疆扎实有效。舆论引导持续用力；三是坚持管治并重，网络综合治理有力。协调联动管控有力。网络安全保障坚实。引导公众参与治理。发现的问题及原因：一是缺乏同媒体打交道的主动意识，不会灵活运用利用各类新媒体平台进行宣传引导；二是没有抓住互联网新兴领域特点不断丰富活动形式。下一步改进措施：一是持续推动党建工作；二是守正创新深入阐述好习近平总书记关于全面深化改革新思想，新观点、新论断，让党的创新理论通过互联网“飞入寻常百姓家”；二是开展好“网络文化节活动”，讲好吉木萨尔县高质量发展实践故事；三是积极做好数字乡村建设及全面素养提升工作。具体附整体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吉木萨尔县互联网信息办公室</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405.08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484.46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481.53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869.06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989.38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983.52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869.06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989.38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983.52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深入贯彻落实习近平总书记视察新疆重要讲话重要指示精神，完整准确贯彻新时代党的治疆方略，坚持党管网络的原则，强化党建引领，谋划和推动网信工作，确保党对互联网领域的绝对领导。组织协调推进全县网络安全和信息化法治、标准建设，使得舆论APP引导反馈率达到90%，网络党组织组建率达到90%，深入开展网络生态治理，网络执法检查，查处网络违法行为，确保网络空间天朗气清，计划开展网络安全全专项检查达到1次，网络一是形态和网络安全责任制督查考核，有效推进负面信息举报有效率达到70%，网络安全宣传场次8场次，发生网络安全事故发生率控制在10%以内，开展常态化网络安全攻击渗透测试，网络违法有害信息内容监测和网络数据安全，筑牢网络安全防线，使得网络舆情处置率达到100%。</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截至2025年12月31日，我单位全年预算数为494.69万元，全年实际支出资金491.76万元，预算执行率为99.94%，主要完成网络安全宣传11次，网络安全全覆盖检查6次，此外包括以下年内容：
（一）高位推动高效落实在党委、政府的大力支持下实现了人员力量、技术防控双提升。
（二）科学谋划统筹抓落实。优化业务岗位分工。按照县委常委会会议精神，及时召开干部会议传达落实，召开主任会议5场次，研究2024年网信绩效考核指标，做到主要领导牵头抓总，分管领导具体实施，岗位负责人分头抓落实细化岗位。
（三）党建示范引领夯基础。加强学习提升工作能力。坚持党管互联网原则，认真抓好机关支部和协会支部党员三会一课制度落实，累计开展线上线下集中学习、主题党日活动共25场次。丰富活动载体增强动力。走访包联推动网企发展。
（四）正向传播引导守阵地。压实网络平台信息内容主体责任。70载辉煌荣光，凝聚团结奋斗精神力量。
（五）开展网络文化活动，共建共享网上精神家园。媒体达人“请进来”，无限风光“传出去”。
（六）提升全民数字素养完成数字乡村建设要求。</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舆论APP引导反馈率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吉木萨尔县互联网信息办公室工作计划及总结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网络党组织组建率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吉木萨尔县委网信办年度工作总结及工作计划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网络安全全覆盖检查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吉木萨尔县委网信办年度工作总结及工作计划、关于批复吉木萨尔县互联网信息办公室2025年部门预算批复的函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负面信息举报有效率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吉木萨尔县委网信办年度工作总结及工作计划、关于批复吉木萨尔县互联网信息办公室2025年部门预算批复的函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=91.37%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网络安全宣传场次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吉木萨尔县互联网信息办公室工作总结及计划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发生网络安全事故发生率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吉木萨尔县互联网信息办公室工作总结及计划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网络舆情处置率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吉木萨尔县互联网信息办公室工作总结及计划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本年本单位其他项目X个，全年预算数X万元，全年执行数X万元。</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