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body>
    <w:p>
      <w:r/>
    </w:p>
    <w:p>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 xml:space="preserve">附件2：</w:t>
      </w: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 xml:space="preserve">项目支出绩效自评报告</w:t>
      </w:r>
    </w:p>
    <w:p>
      <w:pPr>
        <w:spacing w:line="540" w:lineRule="exact"/>
        <w:jc w:val="center"/>
        <w:rPr>
          <w:rFonts w:ascii="华文中宋" w:eastAsia="华文中宋" w:hAnsi="华文中宋" w:cs="宋体"/>
          <w:b/>
          <w:kern w:val="0"/>
          <w:sz w:val="52"/>
          <w:szCs w:val="52"/>
        </w:rPr>
      </w:pPr>
    </w:p>
    <w:p>
      <w:pPr>
        <w:spacing w:line="540" w:lineRule="exact"/>
        <w:jc w:val="center"/>
        <w:rPr>
          <w:rFonts w:eastAsia="仿宋_GB2312" w:hAnsi="宋体" w:cs="宋体"/>
          <w:kern w:val="0"/>
          <w:sz w:val="36"/>
          <w:szCs w:val="36"/>
        </w:rPr>
      </w:pPr>
      <w:r>
        <w:rPr>
          <w:rFonts w:eastAsia="仿宋_GB2312" w:hAnsi="宋体" w:cs="宋体" w:hint="eastAsia"/>
          <w:kern w:val="0"/>
          <w:sz w:val="36"/>
          <w:szCs w:val="36"/>
        </w:rPr>
        <w:t xml:space="preserve">（   </w:t>
      </w:r>
      <w:r>
        <w:rPr>
          <w:rStyle w:val="Strong"/>
          <w:rFonts w:ascii="楷体" w:eastAsia="楷体" w:hAnsi="楷体" w:hint="eastAsia"/>
          <w:spacing w:val="-4"/>
          <w:sz w:val="32"/>
          <w:szCs w:val="32"/>
        </w:rPr>
        <w:t xml:space="preserve">2025</w:t>
      </w:r>
      <w:r>
        <w:rPr>
          <w:rFonts w:eastAsia="仿宋_GB2312" w:hAnsi="宋体" w:cs="宋体" w:hint="eastAsia"/>
          <w:kern w:val="0"/>
          <w:sz w:val="36"/>
          <w:szCs w:val="36"/>
        </w:rPr>
        <w:t xml:space="preserve">  年度）</w:t>
      </w: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rPr>
          <w:rFonts w:eastAsia="仿宋_GB2312" w:hAnsi="宋体" w:cs="宋体"/>
          <w:kern w:val="0"/>
          <w:sz w:val="30"/>
          <w:szCs w:val="30"/>
        </w:rPr>
      </w:pPr>
    </w:p>
    <w:p>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pPr>
        <w:spacing w:line="700" w:lineRule="exact"/>
        <w:ind w:firstLine="900" w:firstLineChars="250"/>
        <w:jc w:val="left"/>
        <w:rPr>
          <w:rFonts w:eastAsia="仿宋_GB2312" w:hAnsi="宋体" w:cs="宋体"/>
          <w:kern w:val="0"/>
          <w:sz w:val="36"/>
          <w:szCs w:val="36"/>
        </w:rPr>
      </w:pPr>
      <w:r>
        <w:rPr>
          <w:rFonts w:eastAsia="仿宋_GB2312" w:hAnsi="宋体" w:cs="宋体" w:hint="eastAsia"/>
          <w:kern w:val="0"/>
          <w:sz w:val="36"/>
          <w:szCs w:val="36"/>
        </w:rPr>
        <w:t xml:space="preserve">项目名称：</w:t>
      </w:r>
      <w:r>
        <w:rPr>
          <w:rStyle w:val="Strong"/>
          <w:rFonts w:ascii="楷体" w:eastAsia="楷体" w:hAnsi="楷体" w:hint="eastAsia"/>
          <w:spacing w:val="-4"/>
          <w:sz w:val="32"/>
          <w:szCs w:val="32"/>
        </w:rPr>
        <w:t xml:space="preserve">物流园园区绿色通道绿化养护管护</w:t>
      </w:r>
    </w:p>
    <w:p>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实施单位（公章）：</w:t>
      </w:r>
      <w:r>
        <w:rPr>
          <w:rStyle w:val="Strong"/>
          <w:rFonts w:ascii="楷体" w:eastAsia="楷体" w:hAnsi="楷体" w:hint="eastAsia"/>
          <w:spacing w:val="-4"/>
          <w:sz w:val="28"/>
          <w:szCs w:val="28"/>
        </w:rPr>
        <w:t xml:space="preserve">吉木萨尔县二工镇人民政府本级</w:t>
      </w:r>
    </w:p>
    <w:p>
      <w:pPr>
        <w:spacing w:line="540" w:lineRule="exact"/>
        <w:ind w:firstLine="900" w:firstLineChars="250"/>
        <w:rPr>
          <w:rFonts w:ascii="楷体" w:eastAsia="楷体" w:hAnsi="楷体"/>
          <w:b/>
          <w:bCs/>
          <w:spacing w:val="-4"/>
          <w:sz w:val="28"/>
          <w:szCs w:val="28"/>
        </w:rPr>
      </w:pPr>
      <w:r>
        <w:rPr>
          <w:rFonts w:eastAsia="仿宋_GB2312" w:hAnsi="宋体" w:cs="宋体" w:hint="eastAsia"/>
          <w:kern w:val="0"/>
          <w:sz w:val="36"/>
          <w:szCs w:val="36"/>
        </w:rPr>
        <w:t xml:space="preserve">主管部门（公章）：</w:t>
      </w:r>
      <w:r>
        <w:rPr>
          <w:rStyle w:val="Strong"/>
          <w:rFonts w:ascii="楷体" w:eastAsia="楷体" w:hAnsi="楷体" w:hint="eastAsia"/>
          <w:spacing w:val="-4"/>
          <w:sz w:val="28"/>
          <w:szCs w:val="28"/>
        </w:rPr>
        <w:t xml:space="preserve">吉木萨尔县二工镇人民政府本级</w:t>
      </w:r>
    </w:p>
    <w:p>
      <w:pPr>
        <w:spacing w:line="540" w:lineRule="exact"/>
        <w:ind w:firstLine="900" w:firstLineChars="250"/>
        <w:rPr>
          <w:rFonts w:ascii="楷体" w:eastAsia="楷体" w:hAnsi="楷体"/>
          <w:b/>
          <w:bCs/>
          <w:spacing w:val="-4"/>
          <w:sz w:val="32"/>
          <w:szCs w:val="32"/>
        </w:rPr>
      </w:pPr>
      <w:r>
        <w:rPr>
          <w:rFonts w:eastAsia="仿宋_GB2312" w:hAnsi="宋体" w:cs="宋体" w:hint="eastAsia"/>
          <w:kern w:val="0"/>
          <w:sz w:val="36"/>
          <w:szCs w:val="36"/>
        </w:rPr>
        <w:t xml:space="preserve">项目负责人（签章）：</w:t>
      </w:r>
      <w:r>
        <w:rPr>
          <w:rStyle w:val="Strong"/>
          <w:rFonts w:ascii="楷体" w:eastAsia="楷体" w:hAnsi="楷体" w:hint="eastAsia"/>
          <w:spacing w:val="-4"/>
          <w:sz w:val="32"/>
          <w:szCs w:val="32"/>
        </w:rPr>
        <w:t xml:space="preserve">拜的哈理·巴代里</w:t>
      </w:r>
    </w:p>
    <w:p>
      <w:pPr>
        <w:spacing w:line="540" w:lineRule="exact"/>
        <w:ind w:left="273" w:firstLine="567"/>
        <w:rPr>
          <w:rStyle w:val="Strong"/>
          <w:rFonts w:ascii="楷体" w:eastAsia="楷体" w:hAnsi="楷体"/>
          <w:spacing w:val="-4"/>
          <w:sz w:val="32"/>
          <w:szCs w:val="32"/>
        </w:rPr>
      </w:pPr>
      <w:r>
        <w:rPr>
          <w:rFonts w:eastAsia="仿宋_GB2312" w:hAnsi="宋体" w:cs="宋体" w:hint="eastAsia"/>
          <w:kern w:val="0"/>
          <w:sz w:val="36"/>
          <w:szCs w:val="36"/>
        </w:rPr>
        <w:t xml:space="preserve">填报时间：</w:t>
      </w:r>
      <w:r>
        <w:rPr>
          <w:rStyle w:val="Strong"/>
          <w:rFonts w:ascii="楷体" w:eastAsia="楷体" w:hAnsi="楷体" w:hint="eastAsia"/>
          <w:spacing w:val="-4"/>
          <w:sz w:val="32"/>
          <w:szCs w:val="32"/>
        </w:rPr>
        <w:t xml:space="preserve">2026年04月08日</w:t>
      </w:r>
    </w:p>
    <w:p>
      <w:pPr>
        <w:spacing w:line="700" w:lineRule="exact"/>
        <w:ind w:firstLine="708" w:firstLineChars="236"/>
        <w:jc w:val="left"/>
        <w:rPr>
          <w:rFonts w:eastAsia="仿宋_GB2312" w:hAnsi="宋体" w:cs="宋体"/>
          <w:kern w:val="0"/>
          <w:sz w:val="30"/>
          <w:szCs w:val="30"/>
        </w:rPr>
      </w:pPr>
    </w:p>
    <w:p>
      <w:pPr>
        <w:spacing w:line="540" w:lineRule="exact"/>
        <w:rPr>
          <w:rStyle w:val="Strong"/>
          <w:rFonts w:ascii="黑体" w:eastAsia="黑体" w:hAnsi="黑体"/>
          <w:b w:val="0"/>
          <w:spacing w:val="-4"/>
          <w:sz w:val="32"/>
          <w:szCs w:val="32"/>
        </w:rPr>
      </w:pP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一、基本情况</w:t>
      </w:r>
    </w:p>
    <w:p>
      <w:pPr>
        <w:spacing w:line="540" w:lineRule="exact"/>
        <w:ind w:firstLine="567"/>
        <w:rPr>
          <w:rStyle w:val="Strong"/>
          <w:rFonts w:ascii="楷体" w:eastAsia="楷体" w:hAnsi="楷体" w:hint="default"/>
          <w:spacing w:val="-4"/>
          <w:sz w:val="32"/>
          <w:szCs w:val="32"/>
          <w:lang w:val="en-US" w:eastAsia="zh-CN"/>
        </w:rPr>
      </w:pPr>
      <w:r>
        <w:rPr>
          <w:rStyle w:val="Strong"/>
          <w:rFonts w:ascii="楷体" w:eastAsia="楷体" w:hAnsi="楷体" w:hint="eastAsia"/>
          <w:spacing w:val="-4"/>
          <w:sz w:val="32"/>
          <w:szCs w:val="32"/>
        </w:rPr>
        <w:t xml:space="preserve">（一）项目概况</w:t>
      </w:r>
      <w:r>
        <w:rPr>
          <w:rStyle w:val="Strong"/>
          <w:rFonts w:ascii="楷体" w:eastAsia="楷体" w:hAnsi="楷体" w:hint="eastAsia"/>
          <w:spacing w:val="-4"/>
          <w:sz w:val="32"/>
          <w:szCs w:val="32"/>
          <w:lang w:eastAsia="zh-CN"/>
        </w:rPr>
        <w:t xml:space="preserve">。</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1.项目背景</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吉木萨尔县北庭春物流园现需清扫园区积雪，由吉木萨尔县玉腾物业服务有限公司服务，根据2024年吉木萨尔县十八届人民政府第二十次常委会和第十三届[2024]89号县委第八十九次常委会（扩大）会议纪要第十条会议精神、《关于剥离北庭综合物流园社会事务管理职能的方案（试行）》（吉县党办号（2022）12号）文件，为了提高园区商户的生活质量，解决园区公共区域清洁问题，特设立本项目。</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2.主要内容</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（1）项目名称：物流园园区绿色通道绿化养护管护</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（2）物流园园区公共区域保洁、垃圾清运、绿化养护、积雪清扫和清运、根据路面情况撒融雪盐、安排保洁配合清理积雪等服务。</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3.实施情况</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实施主体：吉木萨尔县玉腾物业服务有限公司</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实施时间：本项目实施周期为2025年1月-2025年12月。</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情况：二工镇物流园区绿色通道绿化养护管护项目由二工镇人民政府主导、由吉木萨尔县玉腾物业服务有限公司实施，总预算150万元，覆盖园区主干道、辅道及出入口全域绿化区域，自2024年11月启动以来，按计划有序推进，阶段性工作圆满完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截至2026年3月，已完成全年计划养护任务的85%，重点完成积雪清扫、苗木日常养护、病虫害防治、缺失苗木补植及绿化设施维修等工作，实行规范化管理，确保管护质量达标。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阶段工作成果显著，园区苗木成活率保持在95%以上，绿化景观整洁美观，道路通行安全隐患彻底消除，有效优化了园区营商环境，为后续管护工作奠定坚实基础。</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4.项目实施主体</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（1）主要职能</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①负责园区绿色通道全域绿化区域的日常管护，包括苗木浇水、施肥、修剪、除草及病虫害监测防治，及时补植缺失苗木，保障苗木正常生长，维护绿化景观完整性。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②承担绿化设施日常维修养护，排查修复灌溉管道、喷头等设施隐患，清理绿化区域垃圾杂物，规范作业流程，落实管护标准，确保绿化区域整洁有序。</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③落实常态化管护与应急处置，做好极端天气下苗木防护、受损修复工作，强化管护质量监督，优化园区绿化环境，消除通行安全隐患，提升园区整体形象。</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（2）机构设置情况</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单位内设机构：吉木萨尔县二工镇社会事务服务站。</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5.资金投入和使用情况</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（1）项目资金安排落实、总投入等情况分析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本项目预算安排总额为150万元，资金来源为本级部门预算，其中：财政资金150万元，其他资金0万元，2025年实际收到预算资金150万元，预算资金到位率为100%。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（2）项目资金实际使用情况分析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截至2025年12月31日，本项目实际支付资金148万元，预算执行率98.66%。本项目资金主要用于支付物流园区积雪清扫费用110万元、物流园区绿化养护费用38万元。</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（二）项目绩效目标</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1.总体目标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根据第十三届五十八次常委会（老台）吉木萨尔县十八届人民政府第二十八次常务会会议纪要（二工）。项目计划实施二工物流园日常绿化养护管理工作，主要为冬季扫雪、园区绿化养护、日常环境卫生打扫、垃圾清运。计划投入150万元，通过本项目的实施，改善了物流园园区环境，提升了园区承载能力，使园区企业满意度不低于90%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2.阶段性目标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根据《中华人民共和国预算法》《财政支出绩效评价管理暂行办法》（财预〔2020〕10号）、《中共中央 国务院关于全面实施预算绩效管理的意见》（中发〔2018〕34号）、《自治区党委自治区人民政府关于全面实施预算绩效管理的实施意见》（新党发〔2018〕30号）、《自治区财政支出绩效评价管理暂行办法》（新财预〔2018〕189号）的规定，结合我单位的规章制度以及项目实施和财务相关资料，评价小组对项目绩效指标进行了进一步的完善，完善后绩效指标如下：</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（1）项目产出指标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①数量指标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“北庭物流园清雪次数”指标，预期指标值为“大于等于3次”；</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“购买服务单位数量”指标，预期指标值为“等于1家”；</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②质量指标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“服务考核合格率”指标，预期指标值为“等于100%”；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③时效指标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“清雪及时率”指标，预期指标值为“等于100%”；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“保洁及时率”指标，预期指标值为“等于100%”；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（2）项目成本指标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①经济成本指标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“绿化养护费用”指标，预期指标值为“等于10万”；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“扫雪费用”指标，预期指标值为“等于110万”；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“垃圾清运费”指标，预期指标值为“等于19万”；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“环境卫生整治”指标，预期指标值为“等于9万”；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②社会成本指标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③生态环境成本指标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（3）项目效益指标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①经济效益指标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②社会效益指标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“改善物流园园区环境”指标，预期指标值为“有效改善”；</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③生态效益指标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（4）项目满意度指标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①满意度指标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“园区入驻企业满意度”指标，预期指标值为“大于等于95%”。</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二、绩效评价工作开展情况</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（一）绩效评价目的、对象和范围</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1.绩效评价的目的</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为全面实施预算绩效管理，建立科学、合理的项目支出绩效评价管理体系，提高财政资源配置效率和使用效益，根据财政部印发《项目支出绩效评价管理办法》（财预〔2020〕10号）、《自治区财政支出绩效评价管理暂行办法》（新财预〔2018〕189号）、《关于印发&lt;自治区项目支出绩效目标设置指引&gt;的通知》（新财预〔2022〕42号）文件精神，我单位针对吉木萨尔县二工镇物流园区绿色通道绿化养护管护项目开展本次部门项目支出绩效评价工作。通过绩效评价，促进本单位总结经验、发现问题、改进工作，旨在评价本项目前期审批、实施过程及实施效果，促进预算管理不断完善，加快绩效目标的实现，保证财政资金有效、合理使用，具体绩效评价的目的细分如下：</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是通过部门项目支出绩效评价，进一步严格落实《中华人民共和国预算法》以及党中央、国务院关于加强预算绩效管理的指示精神，建立健全“花钱必问效、无效必问责”的绩效预算管理机制、提升财政资金的使用效能。</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是通过部门项目支出绩效评价，进一步做实绩效目标，根据项目绩效目标设立情况，细化形成多维度绩效指标，将绩效指标细化为数量指标、质量指标、时效指标、经济成本指标、社会成本指标、社会生态环境成本指标、经济效益指标、社会效益指标、服务对象满意度指标等内容，保证项目绩效指标设置科学、规范、合理、可衡量。</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四是通过部门项目支出绩效评价，从绩效的角度发现本项目在决策、实施和管理过程中存在的问题，寻求解决方案，为进一步深化项目管理工作提供依据，以促进项目进一步的推进和后期项目维护和评价工作提供更深一步的理论和实际支持。</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2.绩效评价对象</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此次我单位根据《财政支出绩效评价管理暂行办法》（财预〔2020〕10号）文件要求实施评价工作，本次评价对象为吉木萨尔县二工镇物流园区绿色通道绿化养护管护项目，评价核心为项目资金、项目产出、项目效益。</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3.绩效评价范围</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次绩效评价主要围绕项目资金使用情况和财务管理状况；资产配置、使用、处置及其收益管理情况；项目管理相关制度及措施是否被认真执行；绩效目标的实现程度（包括是否达到预定产出和效果）等方面进行综合绩效评价。</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（二）绩效评价原则、评价指标体系、评价方法、评价标准</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1.绩效评价原则</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依据《中华人民共和国预算法》《中共 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关于印发&lt;自治区项目支出绩效目标设置指引&gt;的通知》（新财预〔2022〕42号）等要求，绩效评价应遵循如下原则：</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（1）科学公正。绩效评价应当运用科学合理的方法，按照规范的程序，对项目绩效进行客观、公正地反映。</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（3）激励约束。绩效评价结果应与预算安排、政策调整、改进管理实质性挂钩，体现奖优罚劣和激励相容导向，有效要安排、低效要压减、无效要问责。</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（4）公开透明。绩效评价结果应依法依规公开，并自觉接受社会监督。</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根据以上原则，绩效评价应遵循如下要求：</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（1）在数据采集时，采取客观数据，主管部门审查、社会中介组织复查，与问卷调查相结合的形式，以保证各项指标的真实性。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（2）保证评价结果的真实性、公正性，提高评价报告的公信力。</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绩效评价报告应当简明扼要，除了对绩效评价的过程、结果描述外，还应总结经验，指出问题，并就共性问题提出可操作性改进建议。评价工作组本着科学规范、公平公正、绩效相关的原则，采用全面、重点、现场和非现场相结合的方式进行评价。</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2.绩效评价指标体系</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通过实施资料研读及前期调研，结合项目的实际开展情况，按照《项目支出绩效评价管理办法》（财预〔2020〕10号）文件要求，结合项目特点，经与专家组充分协商，设置指标体系结构如下：设置一级指标共5个，包括：决策指标（21.00%）、过程指标（19.00%）、产出指标（30.00%）、效益指标（20.00%）、满意度指标（10.00%）五类指标。主要围绕资金使用、项目管理、资源配置等方面，客观分析项目的产出和效果，从而考察项目预算定额标准的合理性，进而提出完善意见。整个评价框架构成体现从投入、过程到产出、效果和影响的绩效逻辑路径。详细指标体系见“附件1：项目支出绩效评价体系”。</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3.评价方法</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根据本项目资金的性质和特点，选用比较法、公众评判法对项目进行评价，旨在通过综合分析影响绩效目标实现、实施效果的内外部因素，从而评价本项目绩效。其中：比较法，是指通过对绩效目标与实施效果、历史与当期情况、不同部门和地区同类支出的比较，综合分析绩效目标实现程度；公众评判法，是指通过专家评估、公众问卷及抽样调查等对财政支出效果进行评判，评价绩效目标实现程度。</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三级指标分析环节：总体采用比较法，同时辅以文献法、成本效益法、因素分析法以及公众评判法，根据不同三级指标类型进行逐项分析。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①定量指标分析环节：主要采用对比三级指标预期指标值和三级指标</w:t>
      </w:r>
      <w:r>
        <w:rPr>
          <w:rStyle w:val="Strong"/>
          <w:rFonts w:ascii="楷体" w:eastAsia="楷体" w:hAnsi="楷体" w:hint="eastAsia"/>
          <w:b w:val="0"/>
          <w:bCs w:val="0"/>
          <w:spacing w:val="-4"/>
          <w:sz w:val="32"/>
          <w:szCs w:val="32"/>
        </w:rPr>
        <w:t xml:space="preserve">截至</w:t>
      </w:r>
      <w:r>
        <w:rPr>
          <w:rStyle w:val="Strong"/>
          <w:rFonts w:ascii="楷体" w:eastAsia="楷体" w:hAnsi="楷体" w:hint="eastAsia"/>
          <w:b w:val="0"/>
          <w:bCs w:val="0"/>
          <w:spacing w:val="-4"/>
          <w:sz w:val="32"/>
          <w:szCs w:val="32"/>
        </w:rPr>
        <w:t xml:space="preserve">评价日的完成情况，综合分析绩效目标实现程度。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定性指标分析环节：主要采用公众评判法，通过问卷及抽样调查等方式评价本项目实施后社会公众对于其实施效果的满意程度，将调研结果按照《关于印发&lt;自治区项目支出绩效目标设置指引&gt;的通知》（新财预〔2022〕42号）要求分为基本达成目标、部分实现目标、实现目标程度较低三档，分别按照该指标对应分值区间100.00%（含）-80.00%（含）、80.00%-60.00%（含）、60.00%-0.00%合理确定分值，详细评价方法的应用如下：</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立项依据充分性：比较法、文献法，查找法律法规政策以及规划，对比实际执行内容和政策支持内容是否匹配。</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立项程序规范性：比较法、文献法，查找相关项目设立的政策和文件要求，对比分析实际执行程序是否按照政策及文件要求执行，分析立项程序的规范性。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绩效目标合理性：比较法，对比分析年初编制项目支出绩效目标表与项目内容的相关性、资金的匹配性等。</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绩效指标明确性：比较法，比较分析年初编制项目支出绩效目标表是否符合双七原则，是否可衡量。</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预算编制科学性：成本效益分析法，分析在产出一定的情况下，成本取值是否有依据，是否经过询价，是否按照市场最低成本编制。</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资金分配合理性：因素分析法，综合分析资金的分配依据是否充分，分配金额是否与项目实施单位需求金额一致，</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资金到位率：比较法，资金到位率预期指标值应为100.00%，通过实际计算，分析实际完成值和预期指标值之间的差距和原因。</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预算执行率：比较法，预算执行率预期指标值应为100.00%，通过实际计算，分析实际完成值和预期指标值之间的差距和原因。</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资金使用合规性：文献法、实地勘察法，一是查找资金管理办法，包括专项资金管理办法和单位自有资金管理办法；二是通过查账了解具体开支情况，是否专款专用，是否按照标准支出。</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管理制度健全性：文献法、比较法，查阅项目实施人员提供的财务和业务管理制度，将已建立的制度与现行的法律法规和政策要求进行对比，分析项目制度的合法性、合规性、完整性。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制度执行有效性：比较法，结合项目实际实施过程性文件，根据已建设的财务管理制度和项目管理制度综合分析制度执行的有效性。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定量指标：比较法，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定性指标：公众评判法，通过问卷及抽样调查等方式评价本项目实施后社会公众对于其实施效果的满意程度。</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4.评价标准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绩效评价标准通常包括计划标准、行业标准、历史标准等，用于对绩效指标完成情况进行比较、分析、评价。具体绩效评价标准解释如下：</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计划标准：指以预先制定的目标、计划、预算、定额等作为评价标准。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行业标准：指参照国家公布的行业指标数据制定的评价标准。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历史标准：指参照历史数据制定的评价标准，为体现绩效改进的原则，在可实现的条件下应当确定相对较高的评价标准。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（三）绩效评价工作过程</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1.前期准备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于2026年4月1日，确定绩效评价工作小组，正式开始前期准备工作，通过对评价对象前期调研，确定了评价的目的、方法以及评价的原则，根据项目的内容和特征制定了评价指标体系及评价标准。绩效评价工作小组人员名单及分工如下：</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拜的哈理？巴代里（评价小组组长）：主要负责项目策划和监督，全面负责项目绩效评价报告的最终质量，对评价人员出具的最终报告质量进行复核，确保评估结果的客观性；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哈依那尔别克？阿合买江（评价小组组员）：主要负责资料的收集，取证、数据统计分析；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哈依那尔别克？阿合买江（评价小组组员）：主要负责项目报告的制定，指标的研判，数据分析及报告撰写。</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2.组织实施</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2026年4月11日-4月14日，评价工作进入实施阶段。在数据采集方面，评价小组整理单位前期提交的资料，与项目实施负责人沟通，了解资金的内容、操作流程、管理机制、资金使用方向等情况并采集信息，了解项目设置背景及资金使用等情况。</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3.分析评价</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2026年4月15日-4月20日，评价小组按照绩效评价的原则和规范，对取得的资料进行审查核实，对采集的数据进行分析，按照绩效评价指标评分表逐项进行打分、分析、汇总各方评价结果。　</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4.撰写与提交评价报告</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2026年4月21日-4月28日，评价小组撰写绩效评价报告，按照新疆维吾尔自治区财政绩效管理信息系统绩效评价模块中统一格式和文本框架撰写绩效评价报告并提交审核。</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5.问题整改</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审核通过后，由评价小组将报告推送至项目实施人员，由项目实施人员根据报告评价结论、存在的问题以及改进建议落实问题整改，并形成整改报告，由评价小组负责监督和核查整改落实情况，确保绩效评价落到实处。</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6.档案整理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建立和落实档案管理制度，将项目相关资料存档，包括但不限于：评价项目基本情况和相关文件、评价实施方案、项目支付资料等相关档案。</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三、综合评价情况及评价结论</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（一）综合评价情况</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经评价，本项目较大程度达成年初设立的绩效目标，在实施过程中取得了良好的成效，具体表现在：</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一是：通过项目的实施，完成了物流园园区绿化养护和积雪清扫产出目标，发挥了社会效益。</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二是：通过实施精细化的绿化养护管理，园区内的植被成活率及景观效果得到有效保障。项目累计完成大范围的冬季扫雪除冰工作，确保了雪天道路畅通及作业安全。</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三是：通过春季补植、夏季修剪、秋季清扫及病虫害防治等科学管护手段，园区公共绿地及道路沿线景观保持常绿常新，扬尘污染有效降低，营造了整洁、优美、生态的园区环境。</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（二）评价结论</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依据《中共中央国务院关于全面实施预算绩效管理的意见》《项目支出绩效评价管理办法》（财预〔2020〕10号）文件，绩效评价总分设置为100分，划分为四档：90（含）-100分为“优”、80（含）-90分为“良”、70（含）-80分为“中”、70分以下为“差”。</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级绩效评价遵循科学规范、公开公正、绩效相关和问题导向的原则、重点评价项目的资金投入与财务管理、组织管理、产出与效益效果。在此基础上，以相关的项目数据为基础，综合运用不同的评价方法，结合评价标准和评分规则。经评价分析，项目总体实施情况较好，项目综合得分为96.33分，评价结果为优。实际已完成物流园的积雪清扫和除冰、绿化和养护、保持环境整洁。具体得分情况如下：</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表3-1：项目综合得分表</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指标 决策类 管理类 产出类 效益类 满意度类 合计</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权重 21.00 19.00 30.00 20.00 10.00 100.00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得分 21.00 18.93 26.4 20.00 10.00 96.33</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得分率 100% 99.63% 88.00%  100% 100% 96.33%</w:t>
      </w:r>
    </w:p>
    <w:p>
      <w:pPr>
        <w:spacing w:line="540" w:lineRule="exact"/>
        <w:ind w:firstLine="640"/>
        <w:rPr>
          <w:rStyle w:val="Strong"/>
          <w:rFonts w:ascii="黑体" w:eastAsia="黑体" w:hAnsi="黑体"/>
        </w:rPr>
      </w:pPr>
      <w:r>
        <w:rPr>
          <w:rStyle w:val="Strong"/>
          <w:rFonts w:ascii="黑体" w:eastAsia="黑体" w:hAnsi="黑体" w:hint="eastAsia"/>
          <w:b w:val="0"/>
          <w:spacing w:val="-4"/>
          <w:sz w:val="32"/>
          <w:szCs w:val="32"/>
        </w:rPr>
        <w:t xml:space="preserve">四、绩效评价指标分析</w:t>
      </w:r>
      <w:r>
        <w:rPr>
          <w:rStyle w:val="Strong"/>
          <w:rFonts w:ascii="黑体" w:eastAsia="黑体" w:hAnsi="黑体" w:hint="eastAsia"/>
        </w:rPr>
        <w:t xml:space="preserve"> </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（一）</w:t>
      </w:r>
      <w:r>
        <w:rPr>
          <w:rStyle w:val="Strong"/>
          <w:rFonts w:ascii="楷体" w:eastAsia="楷体" w:hAnsi="楷体" w:hint="eastAsia"/>
          <w:spacing w:val="-4"/>
          <w:sz w:val="32"/>
          <w:szCs w:val="32"/>
        </w:rPr>
        <w:t xml:space="preserve">项目决策情况</w:t>
      </w:r>
    </w:p>
    <w:p>
      <w:pPr>
        <w:tabs>
          <w:tab w:val="center" w:pos="4295"/>
        </w:tabs>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项目决策类指标由3个二级指标和6个三级指标构成，权重分21.00分，实际得分21.00分。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1.项目立项情况分析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（1）立项依据充分性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立项符合根据第十三届五十八次常委会(老台)吉木萨尔县十八届人民政府第二十八次常务会会议纪要(二工)；符合行业发展规划和政策要求；本项目立项符合《吉木萨尔县二工镇人民政府配置内设机构和人员编制规定》中职责范围中的“落实物流园相关政策”，属于我单位履职所需；根据《财政资金直接支付申请书》，本项目资金性质为“公共财政预算”功能分类为“2010399”经济分类为“30209”属于公共财政支持范围，符合中央、地方事权支出责任划分原则；经检查我单位财政管理一体化信息系统，本项目不存在重复。</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综上所述，本指标满分为5.00分，根据评分标准得5.00分，本项目立项依据充分。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（2）立项程序规范性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非基础建设类模板：本项目为非基础建设类项目，不涉及发改立项批复流程，由我单位自行编制项目实施方案和项目预算申请计划，经过与党委会研究确定最终预算方案。经查看，该项目申请设立过程产生的相关文件，符合相关要求，本项目为非基础建设类项目，属于专项资金安排项目，不涉及事前绩效评估、可行性研究以及风险评估，由我单位严格按照根据第十三届五十八次常委会(老台)吉木萨尔县十八届人民政府第二十八次常务会会议纪要(二工)文件要求实施项目。</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综上所述，本指标满分为3.00分，根据评分标准得3.00分，本项目立项程序规范。</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2.绩效目标情况分析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（1）绩效目标合理性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该项目已设置年度绩效目标，具体内容为贴合园区实际需求，聚焦绿化景观提升、设施完好及通行安全，针对性解决管护短板；目标设定科学，明确可量化指标，符合行业标准；与项目预算精准匹配，聚焦核心工作，保障资金效益，贴合乡镇物流园区发展实际。</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②该项目实际工作内容为：绿化养护、清扫积雪。绩效目标与实际工作内容一致，两者具有相关性。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③该项目按照绩效目标完成数量指标、质量指标、时效指标、成本指标，完成了各项任务要求，达到预期效益，预期产出效益和效果符合正常的业绩水平。</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④该项目批复的预算金额为150万元，《项目支出绩效目标表》中预算金额为150万元，预算确定的项目资金与预算确定的项目投资额相匹配。</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综上所述，本指标满分为4.00分，根据评分标准得4分，本项目绩效目标设置合理。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（2）绩效指标明确性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经检查我单位年初设置的《项目支出绩效目标表》，得出如下结论：本项目已将年度绩效目标进行细化为绩效指标体系，共设置一级指标4个，二级指标6个，三级指标11个，指标量化率为91%，量化率达70.00%以上。</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该《项目绩效目标表》中，数量指标指标值为“北庭物流园清雪次数（次）”“购买服务单位数量（家）”，三级指标的年度指标值与年度绩效目标中任务数一致，已设置时效指标“清雪及时率（%）”“保洁及时率（%）”。已设置的绩效目标具备明确性、可衡量性、可实现性、相关性、时限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综上所述，本指标满分为3.00分，根据评分标准得3分，本项目所设置绩效指标明确。</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3.资金投入情况分析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（1）预算编制科学性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编制通过进行初步设计，按设计概算编制本项目预算，即预算编制较科学且经过论证；预算申请内容为关于申请使用吉木萨尔县二工镇物流园区绿色通道绿化养护管护项目结转专项资金的报告，项目实际内容为绿化养护、清扫积雪、垃圾清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申请资金150万元，我单位在预算申请中严格按照项目实施内容及测算标准进行核算，其中：积雪清扫费用110万元、绿化养护费用38万元。预算确定资金量与实际工作任务相匹配。本项目预算额度测算依据充分，严格按照标准编制，预算确定资金量与实际工作任务相匹配；</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综上所述，本指标满分为4.00分，根据评分标准得4分，本项目预算编制科学。</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（2）资金分配合理性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实际分配资金以《关于申请二工镇物流园绿化养护项目资金的请示》和《二工镇物流园绿化养护项目实施方案》为依据进行资金分配，预算资金分配依据充分。根据《关于剥离北庭综合物流园社会事务管理职能的方案（试行）》（吉县党办号（2022）12号），本项目实际到位资金150万元，资金分配额度合理，与我单位实际需求相适应。</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综上所述，本指标满分为2.00分，根据评分标准得2分，本项目资金分配合理。</w:t>
      </w:r>
      <w:r>
        <w:rPr>
          <w:rStyle w:val="Strong"/>
          <w:rFonts w:ascii="楷体" w:eastAsia="楷体" w:hAnsi="楷体" w:hint="eastAsia"/>
          <w:b w:val="0"/>
          <w:bCs w:val="0"/>
          <w:spacing w:val="-4"/>
          <w:sz w:val="32"/>
          <w:szCs w:val="32"/>
        </w:rPr>
        <w:tab/>
      </w:r>
    </w:p>
    <w:p>
      <w:pPr>
        <w:spacing w:line="540" w:lineRule="exact"/>
        <w:ind w:firstLine="579" w:firstLineChars="181"/>
        <w:rPr>
          <w:rStyle w:val="Strong"/>
          <w:rFonts w:ascii="楷体" w:eastAsia="楷体" w:hAnsi="楷体"/>
          <w:spacing w:val="-4"/>
          <w:sz w:val="32"/>
          <w:szCs w:val="32"/>
        </w:rPr>
      </w:pPr>
      <w:r>
        <w:rPr>
          <w:rFonts w:ascii="楷体" w:eastAsia="楷体" w:hAnsi="楷体" w:hint="eastAsia"/>
          <w:b/>
          <w:spacing w:val="-4"/>
          <w:sz w:val="32"/>
          <w:szCs w:val="32"/>
        </w:rPr>
        <w:t xml:space="preserve">（二）</w:t>
      </w:r>
      <w:r>
        <w:rPr>
          <w:rStyle w:val="Strong"/>
          <w:rFonts w:ascii="楷体" w:eastAsia="楷体" w:hAnsi="楷体" w:hint="eastAsia"/>
          <w:spacing w:val="-4"/>
          <w:sz w:val="32"/>
          <w:szCs w:val="32"/>
        </w:rPr>
        <w:t xml:space="preserve">项目过程情况</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项目过程管理类指标由2个二级指标和5个三级指标构成，权重分19.00分，实际得分18.93分。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1.资金管理情况分析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（1）资金到位率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资金为150万元，其中：财政安排资金150万元，其他资金0.00万元，实际到位资金150万元，资金到位率=（实际到位资金/预算资金）×100.00%=（150/150）×100.00%=100%。得分=（实际执行率-60.00%）/（1-60.00%）×4.00=4.00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综上所述，本指标满分为4.00分，根据评分标准得4.00分，本项目资金分配合理。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（2）预算执行率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本项目实际支出资金148万元，预算执行率=（实际支出资金/实际到位资金）×100.00%=（148/150）×100.00%=98.67%；</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项目已完成，总体完成率为96.64%；</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得分=（实际完成率-60.00%）/（1-60.00%）×权重=98.67%×5.00=4.93分。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综上所述，本指标满分为5.00分，根据评分标准得4.93分，本项目资金分配合理。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（3）资金使用合规性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通过检查本项目签订的合同、资金申请文件、发票等财务付款凭证，得出本项目资金支出符合国家财经法规、《政府会计制度》《二工镇人民政府资金管理办法》《二工镇人民政府专项资金管理办法》，资金的拨付有完整的审批程序和手续，资金实际使用方向与预算批复用途一致，不存在截留、挤占、挪用、虚列支出的情况。</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综上所述，本指标满分为4.00分，根据评分标准得4.00分，资金支出符合我单位财务管理制度规定。</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2.组织实施情况分析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（1）管理制度健全性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我单位已制定《二工镇人民政府资金管理办法》《二工镇人民政府收支业务管理制度》《二工镇</w:t>
      </w:r>
      <w:r>
        <w:rPr>
          <w:rStyle w:val="Strong"/>
          <w:rFonts w:ascii="楷体" w:eastAsia="楷体" w:hAnsi="楷体" w:hint="eastAsia"/>
          <w:b w:val="0"/>
          <w:bCs w:val="0"/>
          <w:spacing w:val="-4"/>
          <w:sz w:val="32"/>
          <w:szCs w:val="32"/>
        </w:rPr>
        <w:t xml:space="preserve">人民政府</w:t>
      </w:r>
      <w:r>
        <w:rPr>
          <w:rStyle w:val="Strong"/>
          <w:rFonts w:ascii="楷体" w:eastAsia="楷体" w:hAnsi="楷体" w:hint="eastAsia"/>
          <w:b w:val="0"/>
          <w:bCs w:val="0"/>
          <w:spacing w:val="-4"/>
          <w:sz w:val="32"/>
          <w:szCs w:val="32"/>
        </w:rPr>
        <w:t xml:space="preserve">采购业务管理制度》《二工镇人民政府合同管理制度》，上述已建立的制度均符合行政事业单位内控管理要求，财务和业务管理制度合法、合规、完整，本项目执行符合上述制度规定。</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综上所述，本指标满分为2.00分，根据评分标准得2分，项目制度建设健全。</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（2）制度执行有效性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①该项目的实施符合《二工镇人民政府资金管理办法》《二工镇人民政府收支业务管理制度》《二工镇</w:t>
      </w:r>
      <w:r>
        <w:rPr>
          <w:rStyle w:val="Strong"/>
          <w:rFonts w:ascii="楷体" w:eastAsia="楷体" w:hAnsi="楷体" w:hint="eastAsia"/>
          <w:b w:val="0"/>
          <w:bCs w:val="0"/>
          <w:spacing w:val="-4"/>
          <w:sz w:val="32"/>
          <w:szCs w:val="32"/>
        </w:rPr>
        <w:t xml:space="preserve">人民政府</w:t>
      </w:r>
      <w:r>
        <w:rPr>
          <w:rStyle w:val="Strong"/>
          <w:rFonts w:ascii="楷体" w:eastAsia="楷体" w:hAnsi="楷体" w:hint="eastAsia"/>
          <w:b w:val="0"/>
          <w:bCs w:val="0"/>
          <w:spacing w:val="-4"/>
          <w:sz w:val="32"/>
          <w:szCs w:val="32"/>
        </w:rPr>
        <w:t xml:space="preserve">采购业务管理制度》《二工镇人民政府合同管理制度》等相关法律法规及管理规定，项目具备完整规范的立项程序；经查证项目实施过程资料，项目采购、实施、验收等过程均按照采购管理办法和合同管理办法等相关制度执行，基本完成既定目标；经查证党委会议纪要、项目资金支付审批表、记账凭证等资金拨付流程资料，项目资金拨付流程完整、手续齐全。综上分析，项目执行遵守相关法律法规和相关管理规定。</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②经现场查证项目合同书、验收评审表、财务支付凭证等资料齐全并及时归档。</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③该项目实施过程中不存在调整事项。</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④该项目实施所需要的项目人员和场地设备均已落实到位，具体涉及内容包括：项目资金支出严格按照自治区、地区以及本单位资金管理办法执行，项目启动实施后，为了加快本项目的实施，成立了吉木萨尔县二工镇人民政府项目工作领导小组，拜的哈理？巴代里由任组长，负责项目的组织工作；王吉斌任副组长，负责项目的实施工作；组员包括：哈依那尔别克？阿合买江，主要负责项目监督管理、验收以及资金核拨等工作。</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综上所述，本指标满分为4.00分，根据评分标准得4分，本项目所建立制度执行有效。</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（三）</w:t>
      </w:r>
      <w:r>
        <w:rPr>
          <w:rStyle w:val="Strong"/>
          <w:rFonts w:ascii="楷体" w:eastAsia="楷体" w:hAnsi="楷体" w:hint="eastAsia"/>
          <w:spacing w:val="-4"/>
          <w:sz w:val="32"/>
          <w:szCs w:val="32"/>
        </w:rPr>
        <w:t xml:space="preserve">项目产出情况</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项目产出类指标由6个二级指标和11个三级指标构成，权重分30.00分，实际得分26.4分。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1.数量指标完成情况分析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“北庭物流园清雪次数”指标：预期指标值为“大于等于3次”，实际完成指标值为“6次”，指标完成率为200.00%。。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综上所述，本指标满分为3分，根据评分标准得0分。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“购买服务单位数量”指标：预期指标值为“等于1家”，实际完成指标值为“1家”，指标完成率为100.00%。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综上所述，本指标满分为3分，根据评分标准得3分。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2.质量指标完成情况分析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“服务考核合格率”指标：预期指标值为“等于100%”，实际完成指标值为“100%”，指标完成率为100%。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综上所述，本指标满分为3分，根据评分标准得3分。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3.时效指标完成情况分析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“清雪及时率”指标：预期指标值为“等于100%”，实际完成指标值为“100%”，指标完成率为100%。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综上所述，本指标满分为3分，根据评分标准得3分。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“保洁及时率”指标：预期指标值为“等于100%”，实际完成指标值为“100%”，指标完成率为100%。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综上所述，本指标满分为2分，根据评分标准得2分。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4.成本指标完成情况分析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（1）经济成本指标完成情况分析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“绿化养护费用”指标：预期指标值为“等于10万”，实际完成指标值为“10万”，指标完成率为100%。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综上所述，本指标满分为4分，根据评分标准得4分。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“扫雪费用”指标：预期指标值为“等于110万”，实际完成指标值为“110万”，指标完成率为100%。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综上所述，本指标满分为4分，根据评分标准得4分。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“垃圾清运费”指标：预期指标值为“等于20万”，实际完成指标值为“19万”，指标完成率为95%。</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综上所述，本指标满分为4分，根据评分标准得3.8分。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“环境卫生整治”指标：预期指标值为“等于10万”，实际完成指标值为“9万”，指标完成率为90%。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综上所述，本指标满分为4分，根据评分标准得3.6分。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（2）社会成本指标完成情况分析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（3）生态环境成本指标完成情况分析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（四）</w:t>
      </w:r>
      <w:r>
        <w:rPr>
          <w:rStyle w:val="Strong"/>
          <w:rFonts w:ascii="楷体" w:eastAsia="楷体" w:hAnsi="楷体" w:hint="eastAsia"/>
          <w:spacing w:val="-4"/>
          <w:sz w:val="32"/>
          <w:szCs w:val="32"/>
        </w:rPr>
        <w:t xml:space="preserve">项目效益情况</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项目效益类指标由1个二级指标和1个三级指标构成，权重分20.00分，实际得分20分。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1.经济效益完成情况分析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2.社会效益完成情况分析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“改善物流园园区环境”指标：预期指标值为“有效改善”，实际完成指标值为“达成年度指标”，指标完成率为100.00%。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综上所述，本指标满分为20分，根据评分标准得20分。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3.生态效益完成情况分析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项目满意度类指标由1个二级指标和1个三级指标构成，权重分10.00分，实际得分10分。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1.满意度完成情况分析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“园区入驻企业满意度”指标：预期指标值为“大于等于95%”，实际完成指标值为“95%”，指标完成率为100%。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综上所述，本指标满分为10分，根据评分标准得10分。</w:t>
      </w:r>
      <w:bookmarkStart w:id="0" w:name="_GoBack"/>
      <w:bookmarkEnd w:id="0"/>
    </w:p>
    <w:p>
      <w:pPr>
        <w:spacing w:line="540" w:lineRule="exact"/>
        <w:ind w:firstLine="567"/>
        <w:rPr>
          <w:rStyle w:val="Strong"/>
          <w:rFonts w:ascii="楷体" w:eastAsia="楷体" w:hAnsi="楷体" w:hint="eastAsia"/>
          <w:b w:val="0"/>
          <w:bCs w:val="0"/>
          <w:spacing w:val="-4"/>
          <w:sz w:val="32"/>
          <w:szCs w:val="32"/>
        </w:rPr>
      </w:pPr>
    </w:p>
    <w:p>
      <w:pPr>
        <w:spacing w:line="540" w:lineRule="exact"/>
        <w:ind w:firstLine="567"/>
        <w:rPr>
          <w:rStyle w:val="Strong"/>
          <w:rFonts w:ascii="楷体" w:eastAsia="楷体" w:hAnsi="楷体"/>
          <w:spacing w:val="-4"/>
          <w:sz w:val="32"/>
          <w:szCs w:val="32"/>
        </w:rPr>
      </w:pPr>
    </w:p>
    <w:p>
      <w:pPr>
        <w:numPr>
          <w:ilvl w:val="0"/>
          <w:numId w:val="1"/>
        </w:numPr>
        <w:spacing w:line="540" w:lineRule="exact"/>
        <w:ind w:firstLine="640"/>
        <w:rPr>
          <w:rStyle w:val="Strong"/>
          <w:rFonts w:ascii="黑体" w:eastAsia="黑体" w:hAnsi="黑体" w:hint="eastAsia"/>
          <w:b w:val="0"/>
          <w:spacing w:val="-4"/>
          <w:sz w:val="32"/>
          <w:szCs w:val="32"/>
        </w:rPr>
      </w:pPr>
      <w:r>
        <w:rPr>
          <w:rStyle w:val="Strong"/>
          <w:rFonts w:ascii="黑体" w:eastAsia="黑体" w:hAnsi="黑体" w:hint="eastAsia"/>
          <w:b w:val="0"/>
          <w:spacing w:val="-4"/>
          <w:sz w:val="32"/>
          <w:szCs w:val="32"/>
        </w:rPr>
        <w:t xml:space="preserve">主要经验及做法、存在的问题及原因分析</w:t>
      </w:r>
    </w:p>
    <w:p>
      <w:pPr>
        <w:spacing w:line="540" w:lineRule="exact"/>
        <w:ind w:firstLine="567"/>
        <w:rPr>
          <w:rFonts w:ascii="仿宋_GB2312" w:eastAsia="仿宋_GB2312"/>
          <w:spacing w:val="-4"/>
          <w:sz w:val="32"/>
          <w:szCs w:val="32"/>
        </w:rPr>
      </w:pPr>
      <w:r>
        <w:rPr>
          <w:rStyle w:val="Strong"/>
          <w:rFonts w:ascii="楷体" w:eastAsia="楷体" w:hAnsi="楷体" w:hint="eastAsia"/>
          <w:b w:val="0"/>
          <w:bCs w:val="0"/>
          <w:spacing w:val="-4"/>
          <w:sz w:val="32"/>
          <w:szCs w:val="32"/>
        </w:rPr>
        <w:t xml:space="preserve">（一）主要经验及做法</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物流园绿化养护以“适配作业、精细管控”为核心，结合园区场景划分绿化区域，选用耐旱抗污染乡土品种，完善灌溉防护设施，常态化开展浇水、修剪、病虫害防治及日常巡查，破解扬尘、车辆碾压等痛点。积雪清理坚持“安全优先、高效有序”，提前制定预案，备足除雪物资，划分责任区域，优先清理消防通道、货运通道及装卸区积雪，采用机械与人工结合方式，及时清除积雪避免结冰，同步保护绿化植物，协调养护与物流作业时序，保障园区通行安全与绿化成效。</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（二）存在的问题及原因分析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物流园绿化养护、积雪清理项目存在两大核心问题：一是绿化养护精细化不足，部分区域植物长势不佳、病虫害偶发，二是积雪清理应急效率不均，极端天气下易出现通道积雪清理不及时。原因主要为：养护人员专业能力不足，缺乏针对性管护技巧；物资储备不足且调配不及时；责任分工不够细化，协同机制不完善，未充分结合物流园作业特性优化流程，导致管护与除雪工作衔接不畅，难以适配园区高效作业需求。</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lang w:val="en-US" w:eastAsia="zh-CN"/>
        </w:rPr>
        <w:t xml:space="preserve">六</w:t>
      </w:r>
      <w:r>
        <w:rPr>
          <w:rStyle w:val="Strong"/>
          <w:rFonts w:ascii="黑体" w:eastAsia="黑体" w:hAnsi="黑体" w:hint="eastAsia"/>
          <w:b w:val="0"/>
          <w:spacing w:val="-4"/>
          <w:sz w:val="32"/>
          <w:szCs w:val="32"/>
        </w:rPr>
        <w:t xml:space="preserve">、有关建议</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b w:val="0"/>
          <w:bCs w:val="0"/>
          <w:spacing w:val="-4"/>
          <w:sz w:val="32"/>
          <w:szCs w:val="32"/>
        </w:rPr>
        <w:t xml:space="preserve">针对绿化养护精细化不足、部分区域植物长势不佳、病虫害偶发的问题，建议加强养护人员专业培训，邀请绿化专家开展实操指导，讲解乡土植物管护、病虫害综合防治等针对性技巧，提升人员专业能力；同时细化养护分工，按园区功能分区明确管护责任，建立常态化巡查考核机制，定期排查植物长势及病虫害情况，及时采取浇水、修剪、药剂防治等措施，结合物流园扬尘、车辆碾压特点优化管护流程，提升绿化养护精细化水平。针对积雪清理应急效率不均、极端天气下通道积雪清理不及时的问题，建议完善应急预案，提前备足除雪机械、融雪剂等物资，建立物资统一调配机制；划分应急除雪责任区域，明确各区域清理时限和责任人，采用机械为主、人工为辅的清理模式，优先保障消防通道、货运通道及装卸区畅通，同步加强与物流作业单位的协同，提前对接作业计划，合理安排除雪时序，提升应急处置效率。</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lang w:val="en-US" w:eastAsia="zh-CN"/>
        </w:rPr>
        <w:t xml:space="preserve">七</w:t>
      </w:r>
      <w:r>
        <w:rPr>
          <w:rStyle w:val="Strong"/>
          <w:rFonts w:ascii="黑体" w:eastAsia="黑体" w:hAnsi="黑体" w:hint="eastAsia"/>
          <w:b w:val="0"/>
          <w:spacing w:val="-4"/>
          <w:sz w:val="32"/>
          <w:szCs w:val="32"/>
        </w:rPr>
        <w:t xml:space="preserve">、其他需要说明的问题</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（一）本项目部分间接产生的效果无法准确在短期内衡量，因此很难认定项目产生的全部效果。通过指标来反映绩效，指标的科学性和全面性需要不断地完善和研究。</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（二）评价结果作为安排政府预算、完善政策和改进管理的重要依据。原则上，对评价等级为优、良的，根据情况予以支持；对评价等级为中、差的，要完善政策、改进管理，根据情况核减预算。</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（三）评价结果分别编入政府决算和部门预算，报送本级人民代表大会常务委员会，并依法予以公开。</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四）对使用财政资金严重低效无效并造成重大损失的责任人，要按照相关规定追责问责。对绩效评价过程中发现的资金使用单位和个人的财政违法行为，依照《中华人民共和国预算法》《财政违法行为处罚处分条例》等有关规定追究责任，发现违纪违法问题线索的，应当及时移送纪检监察机关。</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五）工作人员在绩效评价管理工作中存在违反《项目支出绩效评价管理办法》（财预〔2020〕10号）文件行为的，其他滥用职权、玩忽职守、徇私舞弊等违法违纪行为的，依照《中华人民共和国预算法》《中华人民共和国公务员法》《中华人民共和国监察法》《财政违法行为处罚处分条例》等国家有关规定追究相应责任，涉嫌犯罪的，依法移送司法机关处理。</w:t>
      </w: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sectPr>
      <w:footerReference w:type="default" r:id="rId3"/>
      <w:pgSz w:w="11906" w:h="16838" w:orient="portrait"/>
      <w:pgMar w:top="1440" w:right="1558" w:bottom="1440" w:left="1757" w:header="851" w:footer="992" w:gutter="0"/>
      <w:cols w:num="1" w:space="425">
        <w:col w:w="8591" w:space="425"/>
      </w:cols>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sdt>
    <w:sdtPr>
      <w:id w:val="422003363"/>
    </w:sdtPr>
    <w:sdtContent>
      <w:p>
        <w:pPr>
          <w:pStyle w:val="Footer"/>
          <w:jc w:val="center"/>
        </w:pPr>
        <w:r>
          <w:fldChar w:fldCharType="begin"/>
        </w:r>
        <w:r>
          <w:instrText xml:space="preserve">PAGE   \* MERGEFORMAT</w:instrText>
        </w:r>
        <w:r>
          <w:fldChar w:fldCharType="separate"/>
        </w:r>
        <w:r>
          <w:rPr>
            <w:lang w:val="zh-CN"/>
          </w:rPr>
          <w:t xml:space="preserve">2</w:t>
        </w:r>
        <w:r>
          <w:fldChar w:fldCharType="end"/>
        </w:r>
      </w:p>
    </w:sdtContent>
  </w:sdt>
  <w:p>
    <w:pPr>
      <w:pStyle w:val="Footer"/>
    </w:pPr>
  </w:p>
</w:ft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3FEA218F"/>
    <w:multiLevelType w:val="singleLevel"/>
    <w:tmpl w:val="3FEA218F"/>
    <w:name w:val="Numbered_2bc96535-1557-44a9-8f85-eaf7fec96f5a"/>
    <w:lvl w:ilvl="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56465"/>
    <w:rsid w:val="00102DFF"/>
    <w:rsid w:val="0012073C"/>
    <w:rsid w:val="00121AE4"/>
    <w:rsid w:val="00146AAD"/>
    <w:rsid w:val="00151FA7"/>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A0637"/>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856517C"/>
    <w:rsid w:val="0BFB189F"/>
    <w:rsid w:val="0F58071E"/>
    <w:rsid w:val="11BD75F7"/>
    <w:rsid w:val="13BE561A"/>
    <w:rsid w:val="15392994"/>
    <w:rsid w:val="18FE139B"/>
    <w:rsid w:val="3029612C"/>
    <w:rsid w:val="32A221C5"/>
    <w:rsid w:val="33F20F2A"/>
    <w:rsid w:val="34C44675"/>
    <w:rsid w:val="3B5B5607"/>
    <w:rsid w:val="3CE21B3C"/>
    <w:rsid w:val="46AD611F"/>
    <w:rsid w:val="4D2606A1"/>
    <w:rsid w:val="51830480"/>
    <w:rsid w:val="53A616BE"/>
    <w:rsid w:val="54662BFB"/>
    <w:rsid w:val="62051CA5"/>
    <w:rsid w:val="6C3A69EF"/>
    <w:rsid w:val="7BDF2CF1"/>
    <w:rsid w:val="7DB12889"/>
  </w:rsids>
  <w:docVars>
    <w:docVar w:name="commondata" w:val="eyJoZGlkIjoiMzBlY2RlZTc4MzFlYzYzZjZmMTg4MDMwODUwYTE2N2UifQ=="/>
  </w:docVars>
  <m:mathPr>
    <m:mathFont m:val="Cambria Math"/>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lsdException w:name="footer" w:semiHidden="0"/>
    <w:lsdException w:name="index heading"/>
    <w:lsdException w:name="caption" w:uiPriority="35"/>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0"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Variable"/>
    <w:lsdException w:name="Normal Table"/>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lsdException w:name="Table Grid" w:uiPriority="59"/>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paragraph" w:styleId="Heading1">
    <w:name w:val="Heading 1"/>
    <w:basedOn w:val="Normal"/>
    <w:next w:val="Normal"/>
    <w:link w:val="标题1Char"/>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Heading2">
    <w:name w:val="Heading 2"/>
    <w:basedOn w:val="Normal"/>
    <w:next w:val="Normal"/>
    <w:link w:val="标题2Char"/>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Heading3">
    <w:name w:val="Heading 3"/>
    <w:basedOn w:val="Normal"/>
    <w:next w:val="Normal"/>
    <w:link w:val="标题3Char"/>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Heading4">
    <w:name w:val="Heading 4"/>
    <w:basedOn w:val="Normal"/>
    <w:next w:val="Normal"/>
    <w:link w:val="标题4Char"/>
    <w:uiPriority w:val="9"/>
    <w:semiHidden/>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Heading5">
    <w:name w:val="Heading 5"/>
    <w:basedOn w:val="Normal"/>
    <w:next w:val="Normal"/>
    <w:link w:val="标题5Char"/>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Heading6">
    <w:name w:val="Heading 6"/>
    <w:basedOn w:val="Normal"/>
    <w:next w:val="Normal"/>
    <w:link w:val="标题6Char"/>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Heading7">
    <w:name w:val="Heading 7"/>
    <w:basedOn w:val="Normal"/>
    <w:next w:val="Normal"/>
    <w:link w:val="标题7Char"/>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Heading8">
    <w:name w:val="Heading 8"/>
    <w:basedOn w:val="Normal"/>
    <w:next w:val="Normal"/>
    <w:link w:val="标题8Char"/>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Heading9">
    <w:name w:val="Heading 9"/>
    <w:basedOn w:val="Normal"/>
    <w:next w:val="Normal"/>
    <w:link w:val="标题9Char"/>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DefaultParagraphFont">
    <w:name w:val="Default Paragraph Font"/>
    <w:uiPriority w:val="1"/>
    <w:semiHidden/>
    <w:unhideWhenUsed/>
  </w:style>
  <w:style w:type="table" w:default="1" w:styleId="NormalTable">
    <w:name w:val="Normal Table"/>
    <w:uiPriority w:val="99"/>
    <w:semiHidden/>
    <w:unhideWhenUsed/>
    <w:tblPr>
      <w:tblCellMar>
        <w:top w:w="0" w:type="dxa"/>
        <w:left w:w="108" w:type="dxa"/>
        <w:bottom w:w="0" w:type="dxa"/>
        <w:right w:w="108" w:type="dxa"/>
      </w:tblCellMar>
    </w:tblPr>
  </w:style>
  <w:style w:type="paragraph" w:styleId="BalloonText">
    <w:name w:val="Balloon Text"/>
    <w:basedOn w:val="Normal"/>
    <w:link w:val="批注框文本Char"/>
    <w:uiPriority w:val="99"/>
    <w:semiHidden/>
    <w:unhideWhenUsed/>
    <w:rPr>
      <w:sz w:val="18"/>
      <w:szCs w:val="18"/>
    </w:rPr>
  </w:style>
  <w:style w:type="paragraph" w:styleId="Footer">
    <w:name w:val="Footer"/>
    <w:basedOn w:val="Normal"/>
    <w:link w:val="页脚Char"/>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Char"/>
    <w:autoRedefine/>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Subtitle">
    <w:name w:val="Subtitle"/>
    <w:basedOn w:val="Normal"/>
    <w:next w:val="Normal"/>
    <w:link w:val="副标题Char"/>
    <w:uiPriority w:val="11"/>
    <w:qFormat/>
    <w:pPr>
      <w:widowControl/>
      <w:spacing w:after="60"/>
      <w:jc w:val="center"/>
      <w:outlineLvl w:val="1"/>
    </w:pPr>
    <w:rPr>
      <w:rFonts w:asciiTheme="majorHAnsi" w:eastAsiaTheme="majorEastAsia" w:hAnsiTheme="majorHAnsi"/>
      <w:kern w:val="0"/>
      <w:sz w:val="24"/>
    </w:rPr>
  </w:style>
  <w:style w:type="paragraph" w:styleId="Title">
    <w:name w:val="Title"/>
    <w:basedOn w:val="Normal"/>
    <w:next w:val="Normal"/>
    <w:link w:val="标题Char"/>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Strong">
    <w:name w:val="Strong"/>
    <w:basedOn w:val="DefaultParagraphFont"/>
    <w:qFormat/>
    <w:rPr>
      <w:b/>
      <w:bCs/>
    </w:rPr>
  </w:style>
  <w:style w:type="character" w:styleId="Emphasis">
    <w:name w:val="Emphasis"/>
    <w:basedOn w:val="DefaultParagraphFont"/>
    <w:uiPriority w:val="20"/>
    <w:qFormat/>
    <w:rPr>
      <w:rFonts w:asciiTheme="minorHAnsi" w:hAnsiTheme="minorHAnsi"/>
      <w:b/>
      <w:i/>
      <w:iCs/>
    </w:rPr>
  </w:style>
  <w:style w:type="character" w:customStyle="1" w:styleId="标题1Char">
    <w:name w:val="标题 1 Char"/>
    <w:basedOn w:val="DefaultParagraphFont"/>
    <w:link w:val="Heading1"/>
    <w:uiPriority w:val="9"/>
    <w:qFormat/>
    <w:rPr>
      <w:rFonts w:asciiTheme="majorHAnsi" w:eastAsiaTheme="majorEastAsia" w:hAnsiTheme="majorHAnsi"/>
      <w:b/>
      <w:bCs/>
      <w:kern w:val="32"/>
      <w:sz w:val="32"/>
      <w:szCs w:val="32"/>
    </w:rPr>
  </w:style>
  <w:style w:type="character" w:customStyle="1" w:styleId="标题2Char">
    <w:name w:val="标题 2 Char"/>
    <w:basedOn w:val="DefaultParagraphFont"/>
    <w:link w:val="Heading2"/>
    <w:uiPriority w:val="9"/>
    <w:semiHidden/>
    <w:qFormat/>
    <w:rPr>
      <w:rFonts w:asciiTheme="majorHAnsi" w:eastAsiaTheme="majorEastAsia" w:hAnsiTheme="majorHAnsi"/>
      <w:b/>
      <w:bCs/>
      <w:i/>
      <w:iCs/>
      <w:sz w:val="28"/>
      <w:szCs w:val="28"/>
    </w:rPr>
  </w:style>
  <w:style w:type="character" w:customStyle="1" w:styleId="标题3Char">
    <w:name w:val="标题 3 Char"/>
    <w:basedOn w:val="DefaultParagraphFont"/>
    <w:link w:val="Heading3"/>
    <w:uiPriority w:val="9"/>
    <w:semiHidden/>
    <w:qFormat/>
    <w:rPr>
      <w:rFonts w:asciiTheme="majorHAnsi" w:eastAsiaTheme="majorEastAsia" w:hAnsiTheme="majorHAnsi"/>
      <w:b/>
      <w:bCs/>
      <w:sz w:val="26"/>
      <w:szCs w:val="26"/>
    </w:rPr>
  </w:style>
  <w:style w:type="character" w:customStyle="1" w:styleId="标题4Char">
    <w:name w:val="标题 4 Char"/>
    <w:basedOn w:val="DefaultParagraphFont"/>
    <w:link w:val="Heading4"/>
    <w:uiPriority w:val="9"/>
    <w:semiHidden/>
    <w:qFormat/>
    <w:rPr>
      <w:b/>
      <w:bCs/>
      <w:sz w:val="28"/>
      <w:szCs w:val="28"/>
    </w:rPr>
  </w:style>
  <w:style w:type="character" w:customStyle="1" w:styleId="标题5Char">
    <w:name w:val="标题 5 Char"/>
    <w:basedOn w:val="DefaultParagraphFont"/>
    <w:link w:val="Heading5"/>
    <w:uiPriority w:val="9"/>
    <w:semiHidden/>
    <w:qFormat/>
    <w:rPr>
      <w:b/>
      <w:bCs/>
      <w:i/>
      <w:iCs/>
      <w:sz w:val="26"/>
      <w:szCs w:val="26"/>
    </w:rPr>
  </w:style>
  <w:style w:type="character" w:customStyle="1" w:styleId="标题6Char">
    <w:name w:val="标题 6 Char"/>
    <w:basedOn w:val="DefaultParagraphFont"/>
    <w:link w:val="Heading6"/>
    <w:uiPriority w:val="9"/>
    <w:semiHidden/>
    <w:qFormat/>
    <w:rPr>
      <w:b/>
      <w:bCs/>
    </w:rPr>
  </w:style>
  <w:style w:type="character" w:customStyle="1" w:styleId="标题7Char">
    <w:name w:val="标题 7 Char"/>
    <w:basedOn w:val="DefaultParagraphFont"/>
    <w:link w:val="Heading7"/>
    <w:uiPriority w:val="9"/>
    <w:semiHidden/>
    <w:rPr>
      <w:sz w:val="24"/>
      <w:szCs w:val="24"/>
    </w:rPr>
  </w:style>
  <w:style w:type="character" w:customStyle="1" w:styleId="标题8Char">
    <w:name w:val="标题 8 Char"/>
    <w:basedOn w:val="DefaultParagraphFont"/>
    <w:link w:val="Heading8"/>
    <w:uiPriority w:val="9"/>
    <w:semiHidden/>
    <w:qFormat/>
    <w:rPr>
      <w:i/>
      <w:iCs/>
      <w:sz w:val="24"/>
      <w:szCs w:val="24"/>
    </w:rPr>
  </w:style>
  <w:style w:type="character" w:customStyle="1" w:styleId="标题9Char">
    <w:name w:val="标题 9 Char"/>
    <w:basedOn w:val="DefaultParagraphFont"/>
    <w:link w:val="Heading9"/>
    <w:uiPriority w:val="9"/>
    <w:semiHidden/>
    <w:qFormat/>
    <w:rPr>
      <w:rFonts w:asciiTheme="majorHAnsi" w:eastAsiaTheme="majorEastAsia" w:hAnsiTheme="majorHAnsi"/>
    </w:rPr>
  </w:style>
  <w:style w:type="character" w:customStyle="1" w:styleId="标题Char">
    <w:name w:val="标题 Char"/>
    <w:basedOn w:val="DefaultParagraphFont"/>
    <w:link w:val="Title"/>
    <w:uiPriority w:val="10"/>
    <w:rPr>
      <w:rFonts w:asciiTheme="majorHAnsi" w:eastAsiaTheme="majorEastAsia" w:hAnsiTheme="majorHAnsi"/>
      <w:b/>
      <w:bCs/>
      <w:kern w:val="28"/>
      <w:sz w:val="32"/>
      <w:szCs w:val="32"/>
    </w:rPr>
  </w:style>
  <w:style w:type="character" w:customStyle="1" w:styleId="副标题Char">
    <w:name w:val="副标题 Char"/>
    <w:basedOn w:val="DefaultParagraphFont"/>
    <w:link w:val="Subtitle"/>
    <w:uiPriority w:val="11"/>
    <w:rPr>
      <w:rFonts w:asciiTheme="majorHAnsi" w:eastAsiaTheme="majorEastAsia" w:hAnsiTheme="majorHAnsi"/>
      <w:sz w:val="24"/>
      <w:szCs w:val="24"/>
    </w:rPr>
  </w:style>
  <w:style w:type="paragraph" w:styleId="NoSpacing">
    <w:name w:val="No Spacing"/>
    <w:basedOn w:val="Normal"/>
    <w:uiPriority w:val="1"/>
    <w:qFormat/>
    <w:pPr>
      <w:widowControl/>
      <w:jc w:val="left"/>
    </w:pPr>
    <w:rPr>
      <w:rFonts w:asciiTheme="minorHAnsi" w:eastAsiaTheme="minorEastAsia" w:hAnsiTheme="minorHAnsi"/>
      <w:kern w:val="0"/>
      <w:sz w:val="24"/>
      <w:szCs w:val="32"/>
      <w:lang w:eastAsia="en-US" w:bidi="en-US"/>
    </w:rPr>
  </w:style>
  <w:style w:type="paragraph" w:styleId="ListParagraph">
    <w:name w:val="List Paragraph"/>
    <w:basedOn w:val="Normal"/>
    <w:uiPriority w:val="34"/>
    <w:qFormat/>
    <w:pPr>
      <w:widowControl/>
      <w:ind w:left="720"/>
      <w:contextualSpacing/>
      <w:jc w:val="left"/>
    </w:pPr>
    <w:rPr>
      <w:rFonts w:asciiTheme="minorHAnsi" w:eastAsiaTheme="minorEastAsia" w:hAnsiTheme="minorHAnsi"/>
      <w:kern w:val="0"/>
      <w:sz w:val="24"/>
      <w:lang w:eastAsia="en-US" w:bidi="en-US"/>
    </w:rPr>
  </w:style>
  <w:style w:type="paragraph" w:styleId="Quote">
    <w:name w:val="Quote"/>
    <w:basedOn w:val="Normal"/>
    <w:next w:val="Normal"/>
    <w:link w:val="引用Char"/>
    <w:uiPriority w:val="29"/>
    <w:qFormat/>
    <w:pPr>
      <w:widowControl/>
      <w:jc w:val="left"/>
    </w:pPr>
    <w:rPr>
      <w:rFonts w:asciiTheme="minorHAnsi" w:eastAsiaTheme="minorEastAsia" w:hAnsiTheme="minorHAnsi"/>
      <w:i/>
      <w:kern w:val="0"/>
      <w:sz w:val="24"/>
    </w:rPr>
  </w:style>
  <w:style w:type="character" w:customStyle="1" w:styleId="引用Char">
    <w:name w:val="引用 Char"/>
    <w:basedOn w:val="DefaultParagraphFont"/>
    <w:link w:val="Quote"/>
    <w:uiPriority w:val="29"/>
    <w:rPr>
      <w:i/>
      <w:sz w:val="24"/>
      <w:szCs w:val="24"/>
    </w:rPr>
  </w:style>
  <w:style w:type="paragraph" w:styleId="IntenseQuote">
    <w:name w:val="Intense Quote"/>
    <w:basedOn w:val="Normal"/>
    <w:next w:val="Normal"/>
    <w:link w:val="明显引用Char"/>
    <w:uiPriority w:val="30"/>
    <w:qFormat/>
    <w:pPr>
      <w:widowControl/>
      <w:ind w:left="720" w:right="720"/>
      <w:jc w:val="left"/>
    </w:pPr>
    <w:rPr>
      <w:rFonts w:asciiTheme="minorHAnsi" w:eastAsiaTheme="minorEastAsia" w:hAnsiTheme="minorHAnsi"/>
      <w:b/>
      <w:i/>
      <w:kern w:val="0"/>
      <w:sz w:val="24"/>
      <w:szCs w:val="22"/>
    </w:rPr>
  </w:style>
  <w:style w:type="character" w:customStyle="1" w:styleId="明显引用Char">
    <w:name w:val="明显引用 Char"/>
    <w:basedOn w:val="DefaultParagraphFont"/>
    <w:link w:val="IntenseQuote"/>
    <w:uiPriority w:val="30"/>
    <w:rPr>
      <w:b/>
      <w:i/>
      <w:sz w:val="24"/>
    </w:rPr>
  </w:style>
  <w:style w:type="character" w:customStyle="1" w:styleId="不明显强调1">
    <w:name w:val="不明显强调1"/>
    <w:uiPriority w:val="19"/>
    <w:qFormat/>
    <w:rPr>
      <w:i/>
      <w:color w:val="595959" w:themeColor="text1" w:themeTint="A6"/>
      <w14:textFill>
        <w14:solidFill>
          <w14:schemeClr w14:val="tx1">
            <w14:lumMod w14:val="65000"/>
            <w14:lumOff w14:val="35000"/>
          </w14:schemeClr>
        </w14:solidFill>
      </w14:textFill>
    </w:rPr>
  </w:style>
  <w:style w:type="character" w:customStyle="1" w:styleId="明显强调1">
    <w:name w:val="明显强调1"/>
    <w:basedOn w:val="DefaultParagraphFont"/>
    <w:uiPriority w:val="21"/>
    <w:qFormat/>
    <w:rPr>
      <w:b/>
      <w:i/>
      <w:sz w:val="24"/>
      <w:szCs w:val="24"/>
      <w:u w:val="single"/>
    </w:rPr>
  </w:style>
  <w:style w:type="character" w:customStyle="1" w:styleId="不明显参考1">
    <w:name w:val="不明显参考1"/>
    <w:basedOn w:val="DefaultParagraphFont"/>
    <w:uiPriority w:val="31"/>
    <w:qFormat/>
    <w:rPr>
      <w:sz w:val="24"/>
      <w:szCs w:val="24"/>
      <w:u w:val="single"/>
    </w:rPr>
  </w:style>
  <w:style w:type="character" w:customStyle="1" w:styleId="明显参考1">
    <w:name w:val="明显参考1"/>
    <w:basedOn w:val="DefaultParagraphFont"/>
    <w:uiPriority w:val="32"/>
    <w:qFormat/>
    <w:rPr>
      <w:b/>
      <w:sz w:val="24"/>
      <w:u w:val="single"/>
    </w:rPr>
  </w:style>
  <w:style w:type="character" w:customStyle="1" w:styleId="书籍标题1">
    <w:name w:val="书籍标题1"/>
    <w:basedOn w:val="DefaultParagraphFont"/>
    <w:uiPriority w:val="33"/>
    <w:qFormat/>
    <w:rPr>
      <w:rFonts w:asciiTheme="majorHAnsi" w:eastAsiaTheme="majorEastAsia" w:hAnsiTheme="majorHAnsi"/>
      <w:b/>
      <w:i/>
      <w:sz w:val="24"/>
      <w:szCs w:val="24"/>
    </w:rPr>
  </w:style>
  <w:style w:type="paragraph" w:customStyle="1" w:styleId="TOC标题1">
    <w:name w:val="TOC 标题1"/>
    <w:basedOn w:val="Heading1"/>
    <w:next w:val="Normal"/>
    <w:uiPriority w:val="39"/>
    <w:semiHidden/>
    <w:unhideWhenUsed/>
    <w:qFormat/>
    <w:pPr>
      <w:outlineLvl w:val="9"/>
    </w:pPr>
    <w:rPr>
      <w:lang w:eastAsia="en-US" w:bidi="en-US"/>
    </w:rPr>
  </w:style>
  <w:style w:type="character" w:customStyle="1" w:styleId="页眉Char">
    <w:name w:val="页眉 Char"/>
    <w:basedOn w:val="DefaultParagraphFont"/>
    <w:link w:val="Header"/>
    <w:uiPriority w:val="99"/>
    <w:rPr>
      <w:rFonts w:ascii="Calibri" w:eastAsia="宋体" w:hAnsi="Calibri"/>
      <w:kern w:val="2"/>
      <w:sz w:val="18"/>
      <w:szCs w:val="18"/>
    </w:rPr>
  </w:style>
  <w:style w:type="character" w:customStyle="1" w:styleId="页脚Char">
    <w:name w:val="页脚 Char"/>
    <w:basedOn w:val="DefaultParagraphFont"/>
    <w:link w:val="Footer"/>
    <w:uiPriority w:val="99"/>
    <w:rPr>
      <w:rFonts w:ascii="Calibri" w:eastAsia="宋体" w:hAnsi="Calibri"/>
      <w:kern w:val="2"/>
      <w:sz w:val="18"/>
      <w:szCs w:val="18"/>
    </w:rPr>
  </w:style>
  <w:style w:type="character" w:customStyle="1" w:styleId="批注框文本Char">
    <w:name w:val="批注框文本 Char"/>
    <w:basedOn w:val="DefaultParagraphFont"/>
    <w:link w:val="BalloonText"/>
    <w:uiPriority w:val="99"/>
    <w:semiHidden/>
    <w:qFormat/>
    <w:rPr>
      <w:rFonts w:ascii="Times New Roman" w:eastAsia="宋体" w:hAnsi="Times New Roman"/>
      <w:kern w:val="2"/>
      <w:sz w:val="18"/>
      <w:szCs w:val="18"/>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webSettings" Target="webSettings.xml"/><Relationship Id="rId3" Type="http://schemas.openxmlformats.org/officeDocument/2006/relationships/footer" Target="footer1.xml"/><Relationship Id="rId4" Type="http://schemas.openxmlformats.org/officeDocument/2006/relationships/theme" Target="theme/theme1.xml"/><Relationship Id="rId5" Type="http://schemas.openxmlformats.org/officeDocument/2006/relationships/styles" Target="styles.xml"/><Relationship Id="rId6" Type="http://schemas.openxmlformats.org/officeDocument/2006/relationships/numbering" Target="numbering.xml"/><Relationship Id="rId7"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TotalTime>7</TotalTime>
  <Pages>3</Pages>
  <Words>270</Words>
  <Characters>578</Characters>
  <Application>WPS Office_12.1.0.16929_F1E327BC-269C-435d-A152-05C5408002CA</Application>
  <DocSecurity>0</DocSecurity>
  <Lines>4</Lines>
  <Paragraphs>1</Paragraphs>
  <ScaleCrop>false</ScaleCrop>
  <LinksUpToDate>false</LinksUpToDate>
  <CharactersWithSpaces>592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恺_xFF08_预算处_xFF09_</dc:creator>
  <cp:lastModifiedBy>Azureblue</cp:lastModifiedBy>
  <cp:revision>20</cp:revision>
  <cp:lastPrinted>2018-12-31T10:56:00Z</cp:lastPrinted>
  <dcterms:created xsi:type="dcterms:W3CDTF">2018-08-15T02:06:00Z</dcterms:created>
  <dcterms:modified xsi:type="dcterms:W3CDTF">2025-03-20T04:43:17Z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86A4BE803B594D54BB30BEB283D7FDDD_13</vt:lpwstr>
  </property>
</Properties>
</file>