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药品零差率财政补助资金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吉木萨尔县中医医院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吉木萨尔县中医医院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推进医药卫生体制改革，破除“以药养医”机制，落实国家、自治区药品零差率政策要求，取消药品加成，切实减轻群众就医用药负担，保障基层医疗卫生机构正常运转。吉木萨尔县中医医院实施药品零差率财政补助项目，通过财政补助弥补医院因药品零加成减少的药品收益，稳定医院运营，提升县域中医药服务能力，保障群众享受普惠、优质、平价的基本医疗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（1）项目名称：药品零差率财政补助资金项目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资金专项用于弥补我院执行药品零差率政策后减少的药品加成收入，主要用于药品采购、试剂采购、医用材料采购等方面。通过落实药品零差率销售，严格执行药品集中采购制度，规范药品采购、入库、出库、使用全流程管理，严控药品采购成本，保障临床用药供应，切实降低患者药品费用支出，同时保障医院药学服务正常开展，推动县域中医药事业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实施主体：吉木萨尔县中医医院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为经费类项目，实施周期为2025年1月-2025年12月。项目前期，医院按照医改政策及财政资金管理要求，完成立项申报、绩效目标设定、预算编制等工作，明确资金使用范围与管理规范；实施过程中，严格按照财政补助资金管理办法执行，实行专款专用、专账核算，按月完成药品采购结算、药房运营维护、药学服务开展等工作，动态监测药品库存与供应情况，确保临床用药不断供；全年有序推进药品零差率政策落地，所有药品全部按进价零差价销售，规范完成与医药配送企业款项支付、对账核销、财务核算等工作；项目全年按计划执行完毕，资金足额使用，政策落实到位，有效减轻群众用药负担，保障医院正常运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①提供中医药基本医疗服务，开展门诊、住院诊疗、中医药特色康复等医疗服务，保障县域群众就医需求。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②执行国家基本药物制度与药品零差率政策，规范药品采购、储存、调配、使用全流程管理，保障用药安全。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③落实财政补助资金管理要求，规范资金使用、财务核算与绩效自评，提升医疗服务质量与资金使用效益。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针灸科、内一科、内二科、内三科、外一科、外二科、急诊科、儿科、推拿科、理疗科、中医护理门诊、五官科、康复科、手麻科、重症监护室、影像科（CT室、DR拍片室、胃肠室）、功能科（彩超室、心功能室、脑电图室、肺功能室）、治未病科、药剂科、检验科、消毒供应室、行政办、财务科、质控办、护理部、总务管理中心、医改办、公卫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。本项目预算安排总额为313.92万元，资金来源为本级部门预算（自治区专项资金，其中：财政资金313.92万元，其他资金0万元，2025年实际收到预算资金313.92万元，预算资金到位率为100%。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截至2025年12月31日，本项目实际支付资金305.48万元，预算执行率97.31%。本项目资金主要用于支付药品费用305.48万元。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面落实药品零差率政策，减轻群众就医用药负担；保障医院药品正常采购、供应与药学服务开展，稳定医疗服务秩序；规范财政补助资金使用，提升资金使用效益；提高中医药服务可及性与群众满意度，推动县域医疗卫生事业高质量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“支付药品供应商数量”指标，预期指标值为“大于等于9家”；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“药品入库合格率”指标，预期指标值为“等于100%”；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“药品入库及时率”指标，预期指标值为“等于100%”；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“平均每家药品公司支付成本”指标，预期指标值为“小于等于34.88万/家元”；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“促进县级医疗卫生事业发展，确保患者用药质量和用药费用的合理性”指标，预期指标值为“有效确保”；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“患者满意度”指标，预期指标值为“大于等于95%”。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药品零差率财政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此次我单位根据《财政支出绩效评价管理暂行办法》（财预〔2020〕10号）文件要求实施评价工作，本次评价对象为药品零差率财政补助资金项目，评价核心为项目资金、项目产出、项目效益。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范玉萍（评价小组组长）：主要负责项目策划和监督，全面负责项目绩效评价报告的最终质量，对评价人员出具的最终报告质量进行复核，确保评估结果的客观性；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张世玉（评价小组组员）：主要负责资料的收集，取证、数据统计分析、项目报告的制定、指标的研判、数据分析及报告撰写。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一是：通过项目的实施，完成了经济成本产出目标，发挥了经济效益。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二是：通过项目的实施，完成了促进县级医疗卫生事业发展，确保患者用药质量和用药费用的合理性产出目标，发挥了社会效益。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三是：通过项目的实施，完成了满意度产出目标，发挥了社会效益。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本项目共设置三级指标数量18个，实现三级指标数量18个，总体完成率为100%。项目决策类指标共设置6个，满分指标6个，得分率100%；过程管理类指标共设置5个，满分指标5个，得分率100%；项目产出类指标共设置4个，满分指标4个，得分率100%；项目效益类指标共设置1个，满分指标1个，得分率100%；项目满意度类指标共设置2个，满分指标2个，得分率100%。详细情况见“表3-1：项目综合得分表”及“附件2：项目综合得分表”。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颁发的《关于全面推开县级公立医院综合改革的实施意见》（国办发〔2015〕33号）中：“明确提出县级公立医院要全面取消药品加成（中药饮片除外）建立科学合理的补偿机制”；本项目立项符合《关于巩固破除以药补医成果持续深化公立医院综合改革的通知》中：“确保公立医院因取消药品加成而减少的合理收入通过调整医疗服务价格”内容，符合行业发展规划和政策要求；本项目立项符合《吉木萨尔县中医医院单位配置内设机构和人员编制规定》中职责范围中的“负责机所属单位财务监督和资产管理”，属于我单位履职所需；根据《财政资金直接支付申请书》，本项目资金性质为“公共财政预算”功能分类为“其他公立支出”经济分类为“商品和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巩固破除以药补医成果持续深化公立医院综合改革的通知》（国卫体改发〔2018〕4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随着医疗卫生事业的不断发展和国民健康水平的提高，人们对医疗服务和药品质量越来越高。为进一步提高县级公立医院药品销售质量和效率，实行“零差率”销售该项目用于支付九家公司药品款，平均每家药品公司支付成本34.88万元/每家，缓解医院经济压力。通过本项目实施，促进县级医疗卫生事业发展，确保患者用药质量和用药费用的合理性，待项目实施完成，争取使职工满意度及患者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②该项目实际工作内容为：用于支付欠药品款，缓解医院经济压。绩效目标与实际工作内容一致，两者具有相关性绩效目标与实际工作内容一致，两者具有相关性。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③该项目按照绩效目标完成数量指标、质量指标、时效指标、成本指标，完成了零差率销售，达到经济效益，预期产出效益和效果符合正常的业绩水平。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④该项目批复的预算金额为313.92万元，《项目支出绩效目标表》中预算金额为313.92万元，预算确定的项目资金与预算确定的项目投资额相匹配。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支付药品供应商数量大于等于9家”，三级指标的年度指标值与年度绩效目标中任务数一致，已设置时效指标“药品入库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根据《关于印发县级中医医院药品零差率销售实施方案的通知》（吉县政办[2017]20号）政府实施医改政策，医院从2017年4月实行药品零差率后，政府每年要给医院拨付药品零差率补助资金。项目实际内容为用于支付欠药品款，缓解医院经济压力，预算申请与《药品零差率补助资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313.92万元，我单位在预算申请中严格按照项目实施内容及测算标准进行核算，其中：药品零差率补助费用313.92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拨付县中医医院2024年药品零差率补助资金的请示》为依据进行资金分配，预算资金分配依据充分。根据《中医医院2025年政府预算药品零差率补助资金》，本项目实际到位资金313.92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313.92万元，其中：财政安排资金313.92万元，其他资金0万元，实际到位资金313.92万元，资金到位率=（实际到位资金/预算资金）×100.00%=（313.92/313.92）×100.00%=97.31%。得分=（100%-60.00%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本项目实际支出资金313.92万元，预算执行率=（实际支出资金/实际到位资金）×100.00%=（305.48/313.92）×100.00%=99.33%；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中医医院资金管理办法》《吉木萨尔县中医医院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中医医院资金管理办法》《吉木萨尔县中医医院收支业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中医医院管理制度》《吉木萨尔县中医医院收支业务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药品零差率项目工作领导小组，由王娟任组长，负责项目的组织工作，负责项目的实施工作；组员：李礼华，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“支付药品供应商数量”指标：预期指标值为“大于等于9家”，实际完成指标值为“等于9家”，指标完成率为100.00%。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“药品入库合格率”指标：预期指标值为“等于100%”，实际完成指标值为“等于100%”，指标完成率为100%。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“药品入库及时率”指标：等于100%”，实际完成指标值为“等于100%”，指标完成率为100%。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“平均每家药品公司支付成本”指标：预期指标值为“小于等于等于34.88万元/家”，实际完成指标值为“等于33.94万元/家”，指标完成率为100%。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“促进县级医疗卫生事业发展，确保患者用药质量和用药费用的合理性”指标：预期指标值为“有效确保”，实际完成指标值为“达成年度指标”，指标完成率为100.00%。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“职工满意度”指标：预期指标值为“大于等于95%”，实际完成指标值为“等于99%”，指标完成率为104%。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“患者满意度”指标：预期指标值为“大于等于95%”，实际完成指标值为“等于97%”，指标完成率为102%。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在药品零差率财政补助资金项目实施过程中，始终坚持政策导向与规范管理并重，形成了较为成熟的管理经验与工作做法。一是严格落实医改政策要求，全面执行药品零差率销售，实行集中采购，从源头降低药品价格，切实让利于群众，把政策红利落到实处。二是强化资金闭环管理，设立专项资金台账，实行专款专用、专账核算，严格执行国库集中支付制度，每笔支出均履行审批流程，确保资金使用合规、安全、高效，全年资金执行率100%。三是健全药品全流程管控机制，规范采购、验收、储存、养护、发放各环节操作，严把药品质量关，建立库存监测机制，保障临床用药充足稳定。项目实施以来，政策落地平稳，资金效益显著，群众满意度持续提升，为基层公立医院落实医改政策提供了可复制的实践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药品精细化管理水平有待提升。药品库存盘点、台账登记、财务对账等工作不够细致，库存数据与财务数据同步性不强，台账信息登记不够完整规范，影响药品全流程精细化管控效果。主要原因在于药品管理人员配置不足，信息化管理手段应用不充分，缺乏常态化、标准化的库存动态监测与预警机制，日常管理偏重于满足基本供应，对精细化、标准化管控重视程度不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政策宣传与服务延伸力度不足。药品零差率惠民政策宣传形式较为单一，主要依靠院内公告、电子屏等方式开展，面向乡镇、社区、村居的基层宣传覆盖面不足，部分群众对政策内容、惠民效果知晓度不高；同时，中医药特色药品推广、合理用药科普、慢病用药指导等延伸服务开展频次较少，服务深度不够，政策社会效益未能最大化发挥。主要原因是宣传工作缺乏系统性规划，未建立多渠道、常态化宣传机制，人员力量与资源投入不足，对政策外宣和服务延伸的重要性认识不到位，工作主动性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针对药品精细化管理不足的问题，建议是建立季度盘点，规范库存台账、采购台账、财务台账登记标准，实现账账相符、账实相符，配齐配强药品管理人员，加强业务培训，提升精细化管理能力。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针对政策宣传与服务延伸不足的问题，建议是构建宣传体系，联合乡镇卫生院、社区服务中心开展政策宣讲，利用微信公众号、短视频、宣传栏等载体扩大覆盖面，提高群众政策知晓率。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2d0c1595-8dbe-4cd7-a7fb-5cf9c1a75fc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