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中共吉木萨尔县委员会社会工作部</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（1）研究相关理论、政策和规划，拟订相关地方性法规及规范性文件并组织实施。深入调查研究，及时向县委报告工作情况并提出建议。</w:t>
      </w:r>
    </w:p>
    <w:p>
      <w:pPr>
        <w:spacing w:line="580" w:lineRule="exact"/>
        <w:ind w:firstLine="640"/>
        <w:jc w:val="both"/>
      </w:pPr>
      <w:r>
        <w:rPr>
          <w:rFonts w:ascii="仿宋_GB2312" w:hAnsi="仿宋_GB2312" w:eastAsia="仿宋_GB2312"/>
          <w:sz w:val="32"/>
        </w:rPr>
        <w:t>（2）统筹指导群众利益协调、诉求表达、矛盾调处、权益保障等人民信访工作，协调解决人民群众急难愁盼的重大问题。指导人民建议征集工作，负责征集、办理公民、法人和其他组织提出的意见建议，向县委、县人民政府及时反映公民、法人和其他组织对党和国家、县各项事业发展提出的重要意见建议。</w:t>
      </w:r>
    </w:p>
    <w:p>
      <w:pPr>
        <w:spacing w:line="580" w:lineRule="exact"/>
        <w:ind w:firstLine="640"/>
        <w:jc w:val="both"/>
      </w:pPr>
      <w:r>
        <w:rPr>
          <w:rFonts w:ascii="仿宋_GB2312" w:hAnsi="仿宋_GB2312" w:eastAsia="仿宋_GB2312"/>
          <w:sz w:val="32"/>
        </w:rPr>
        <w:t>（3）统筹推进党建引领基层治理和基层政权建设，协调推进城乡社区治理体系和治理能力建设，推进基层民主政治建设，指导监督基层群众自治制度的有效实施，健全基层群众自治机制。</w:t>
      </w:r>
    </w:p>
    <w:p>
      <w:pPr>
        <w:spacing w:line="580" w:lineRule="exact"/>
        <w:ind w:firstLine="640"/>
        <w:jc w:val="both"/>
      </w:pPr>
      <w:r>
        <w:rPr>
          <w:rFonts w:ascii="仿宋_GB2312" w:hAnsi="仿宋_GB2312" w:eastAsia="仿宋_GB2312"/>
          <w:sz w:val="32"/>
        </w:rPr>
        <w:t>（4）指导全县社会组织党建工作，统一领导全县性行业协会商会党的工作，协调推动行业协会商会深化改革和转型发展。</w:t>
      </w:r>
    </w:p>
    <w:p>
      <w:pPr>
        <w:spacing w:line="580" w:lineRule="exact"/>
        <w:ind w:firstLine="640"/>
        <w:jc w:val="both"/>
      </w:pPr>
      <w:r>
        <w:rPr>
          <w:rFonts w:ascii="仿宋_GB2312" w:hAnsi="仿宋_GB2312" w:eastAsia="仿宋_GB2312"/>
          <w:sz w:val="32"/>
        </w:rPr>
        <w:t>（5）指导全县混合所有制企业、非公有制企业和新经济组织、新社会组织、新就业群体党建工作，指导协调相关企业单位、社会组织、就业群体中党员的教育、管理、监督和服务工作，研究完善相关领域群众利益协调机制。</w:t>
      </w:r>
    </w:p>
    <w:p>
      <w:pPr>
        <w:spacing w:line="580" w:lineRule="exact"/>
        <w:ind w:firstLine="640"/>
        <w:jc w:val="both"/>
      </w:pPr>
      <w:r>
        <w:rPr>
          <w:rFonts w:ascii="仿宋_GB2312" w:hAnsi="仿宋_GB2312" w:eastAsia="仿宋_GB2312"/>
          <w:sz w:val="32"/>
        </w:rPr>
        <w:t>（6）负责全县志愿服务工作的统筹规划、协调指导、督促检查。指导社会工作人才队伍建设。</w:t>
      </w:r>
    </w:p>
    <w:p>
      <w:pPr>
        <w:spacing w:line="580" w:lineRule="exact"/>
        <w:ind w:firstLine="640"/>
        <w:jc w:val="both"/>
      </w:pPr>
      <w:r>
        <w:rPr>
          <w:rFonts w:ascii="仿宋_GB2312" w:hAnsi="仿宋_GB2312" w:eastAsia="仿宋_GB2312"/>
          <w:sz w:val="32"/>
        </w:rPr>
        <w:t>（7）完成县委交办的其他任务。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中共吉木萨尔县委员会社会工作部无下属预算单位。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2025年度收入总计449.32万元，</w:t>
      </w:r>
      <w:r>
        <w:rPr>
          <w:rFonts w:ascii="仿宋_GB2312" w:hAnsi="仿宋_GB2312" w:eastAsia="仿宋_GB2312"/>
          <w:b w:val="0"/>
          <w:sz w:val="32"/>
        </w:rPr>
        <w:t>其中：本年收入合计449.32万元，使用非财政拨款结余（含专用结余）0.00万元，年初结转和结余0.00万元。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2025年度支出总计449.32万元，</w:t>
      </w:r>
      <w:r>
        <w:rPr>
          <w:rFonts w:ascii="仿宋_GB2312" w:hAnsi="仿宋_GB2312" w:eastAsia="仿宋_GB2312"/>
          <w:b w:val="0"/>
          <w:sz w:val="32"/>
        </w:rPr>
        <w:t>其中：本年支出合计448.49万元，结余分配0.00万元，年末结转和结余0.83万元。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434.66万元，增长2,964.94%，主要原因是：根据政府相关工作安排我单位与2024年7月设立，2024年人员均在原单位发放工资缴纳社会保险费，只拨付了办公经费；年末按文件要求追加人员工资调标部分。2025年纳入全面预算。</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本年收入449.32万元，</w:t>
      </w:r>
      <w:r>
        <w:rPr>
          <w:rFonts w:ascii="仿宋_GB2312" w:hAnsi="仿宋_GB2312" w:eastAsia="仿宋_GB2312"/>
          <w:b w:val="0"/>
          <w:sz w:val="32"/>
        </w:rPr>
        <w:t>其中：财政拨款收入448.02万元，占99.71%；上级补助收入0.00万元，占0.00%；事业收入0.00万元，占0.00%；经营收入0.00万元，占0.00%；附属单位上缴收入0.00万元，占0.00%；其他收入1.30万元，占0.29%。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本年支出448.49万元，</w:t>
      </w:r>
      <w:r>
        <w:rPr>
          <w:rFonts w:ascii="仿宋_GB2312" w:hAnsi="仿宋_GB2312" w:eastAsia="仿宋_GB2312"/>
          <w:b w:val="0"/>
          <w:sz w:val="32"/>
        </w:rPr>
        <w:t>其中：基本支出442.49万元，占98.66%；项目支出6.00万元，占1.34%；上缴上级支出0.00万元，占0.00%；经营支出0.00万元，占0.00%；对附属单位补助支出0.00万元，占0.00%。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2025年度财政拨款收入总计448.02万元，</w:t>
      </w:r>
      <w:r>
        <w:rPr>
          <w:rFonts w:ascii="仿宋_GB2312" w:hAnsi="仿宋_GB2312" w:eastAsia="仿宋_GB2312"/>
          <w:b w:val="0"/>
          <w:sz w:val="32"/>
        </w:rPr>
        <w:t>其中：年初财政拨款结转和结余0.00万元，本年财政拨款收入448.02万元。</w:t>
      </w:r>
      <w:r>
        <w:rPr>
          <w:rFonts w:ascii="仿宋_GB2312" w:hAnsi="仿宋_GB2312" w:eastAsia="仿宋_GB2312"/>
          <w:b/>
          <w:sz w:val="32"/>
        </w:rPr>
        <w:t>财政拨款支出总计448.02万元，</w:t>
      </w:r>
      <w:r>
        <w:rPr>
          <w:rFonts w:ascii="仿宋_GB2312" w:hAnsi="仿宋_GB2312" w:eastAsia="仿宋_GB2312"/>
          <w:b w:val="0"/>
          <w:sz w:val="32"/>
        </w:rPr>
        <w:t>其中：年末财政拨款结转和结余0.00万元，本年财政拨款支出448.02万元。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433.36万元，增长2,956.07%，主要原因是：根据政府相关工作安排我单位与2024年7月设立，2024年人员均在原单位发放工资缴纳社会保险费，只拨付了办公经费；年末按文件要求追加人员工资调标部分。2025年纳入全面预算。</w:t>
      </w:r>
      <w:r>
        <w:rPr>
          <w:rFonts w:ascii="仿宋_GB2312" w:hAnsi="仿宋_GB2312" w:eastAsia="仿宋_GB2312"/>
          <w:b/>
          <w:sz w:val="32"/>
        </w:rPr>
        <w:t>与年初预算相比，</w:t>
      </w:r>
      <w:r>
        <w:rPr>
          <w:rFonts w:ascii="仿宋_GB2312" w:hAnsi="仿宋_GB2312" w:eastAsia="仿宋_GB2312"/>
          <w:b w:val="0"/>
          <w:sz w:val="32"/>
        </w:rPr>
        <w:t>年初预算数354.42万元，决算数448.02万元，预决算差异率26.41%，主要原因是：年终追加为民办实事工作经费；年中追加在职、退休人员工资调标；以前年度职业年金做实追加经费。</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按照支出功能分类，一般公共服务支出（类）社会工作事务（款）行政运行（项）的支出占本年财政拨款支出总额的比重最高，2025年度决算数为196.77万元，占比43.92%，主要用于人员工资福利、日常公用经费。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2025年度一般公共预算财政拨款支出448.02万元，</w:t>
      </w:r>
      <w:r>
        <w:rPr>
          <w:rFonts w:ascii="仿宋_GB2312" w:hAnsi="仿宋_GB2312" w:eastAsia="仿宋_GB2312"/>
          <w:b w:val="0"/>
          <w:sz w:val="32"/>
        </w:rPr>
        <w:t>占本年支出合计的99.90%。</w:t>
      </w:r>
      <w:r>
        <w:rPr>
          <w:rFonts w:ascii="仿宋_GB2312" w:hAnsi="仿宋_GB2312" w:eastAsia="仿宋_GB2312"/>
          <w:b/>
          <w:sz w:val="32"/>
        </w:rPr>
        <w:t>与上年相比，</w:t>
      </w:r>
      <w:r>
        <w:rPr>
          <w:rFonts w:ascii="仿宋_GB2312" w:hAnsi="仿宋_GB2312" w:eastAsia="仿宋_GB2312"/>
          <w:b w:val="0"/>
          <w:sz w:val="32"/>
        </w:rPr>
        <w:t>增加433.36万元，增长2,956.07%，主要原因是：根据政府相关工作安排我单位与2024年7月设立，2024年人员均在原单位发放工资缴纳社会保险费，只拨付了办公经费；年末按文件要求追加人员工资调标部分。2025年纳入全面预算。</w:t>
      </w:r>
      <w:r>
        <w:rPr>
          <w:rFonts w:ascii="仿宋_GB2312" w:hAnsi="仿宋_GB2312" w:eastAsia="仿宋_GB2312"/>
          <w:b/>
          <w:sz w:val="32"/>
        </w:rPr>
        <w:t>与年初预算相比，</w:t>
      </w:r>
      <w:r>
        <w:rPr>
          <w:rFonts w:ascii="仿宋_GB2312" w:hAnsi="仿宋_GB2312" w:eastAsia="仿宋_GB2312"/>
          <w:b w:val="0"/>
          <w:sz w:val="32"/>
        </w:rPr>
        <w:t>年初预算数354.42万元，决算数448.02万元，预决算差异率26.41%，主要原因是：年终追加访惠聚工作经费；年中追加在职、退休人员工资调标；以前年度职业年金做实追加经费。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1.一般公共服务支出（类）341.25万元，占76.17%。</w:t>
      </w:r>
    </w:p>
    <w:p>
      <w:pPr>
        <w:spacing w:line="580" w:lineRule="exact"/>
        <w:ind w:firstLine="640"/>
        <w:jc w:val="both"/>
      </w:pPr>
      <w:r>
        <w:rPr>
          <w:rFonts w:ascii="仿宋_GB2312" w:hAnsi="仿宋_GB2312" w:eastAsia="仿宋_GB2312"/>
          <w:b w:val="0"/>
          <w:sz w:val="32"/>
        </w:rPr>
        <w:t>2.社会保障和就业支出（类）55.06万元，占12.29%。</w:t>
      </w:r>
    </w:p>
    <w:p>
      <w:pPr>
        <w:spacing w:line="580" w:lineRule="exact"/>
        <w:ind w:firstLine="640"/>
        <w:jc w:val="both"/>
      </w:pPr>
      <w:r>
        <w:rPr>
          <w:rFonts w:ascii="仿宋_GB2312" w:hAnsi="仿宋_GB2312" w:eastAsia="仿宋_GB2312"/>
          <w:b w:val="0"/>
          <w:sz w:val="32"/>
        </w:rPr>
        <w:t>3.卫生健康支出（类）25.93万元，占5.79%。</w:t>
      </w:r>
    </w:p>
    <w:p>
      <w:pPr>
        <w:spacing w:line="580" w:lineRule="exact"/>
        <w:ind w:firstLine="640"/>
        <w:jc w:val="both"/>
      </w:pPr>
      <w:r>
        <w:rPr>
          <w:rFonts w:ascii="仿宋_GB2312" w:hAnsi="仿宋_GB2312" w:eastAsia="仿宋_GB2312"/>
          <w:b w:val="0"/>
          <w:sz w:val="32"/>
        </w:rPr>
        <w:t>4.住房保障支出（类）25.77万元，占5.75%。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3.00万元，比上年决算增加3.00万元，增长100.00%，主要原因是：根据政府相关工作安排我单位与2024年7月设立，2024年人员均在原单位发放工资缴纳社会保险费，只拨付了办公经费；年末按文件要求追加人员工资调标部分。2025年纳入全面预算。</w:t>
      </w:r>
    </w:p>
    <w:p>
      <w:pPr>
        <w:spacing w:line="580" w:lineRule="exact"/>
        <w:ind w:firstLine="640"/>
        <w:jc w:val="both"/>
      </w:pPr>
      <w:r>
        <w:rPr>
          <w:rFonts w:ascii="仿宋_GB2312" w:hAnsi="仿宋_GB2312" w:eastAsia="仿宋_GB2312"/>
          <w:b w:val="0"/>
          <w:sz w:val="32"/>
        </w:rPr>
        <w:t>2.一般公共服务支出（类）社会工作事务（款）行政运行（项）：支出决算数为196.77万元，比上年决算增加194.88万元，增长10,311.11%，主要原因是：根据政府相关工作安排我单位与2024年7月设立，2024年人员均在原单位发放工资缴纳社会保险费，只拨付了办公经费；年末按文件要求追加人员工资调标部分。2025年纳入全面预算。</w:t>
      </w:r>
    </w:p>
    <w:p>
      <w:pPr>
        <w:spacing w:line="580" w:lineRule="exact"/>
        <w:ind w:firstLine="640"/>
        <w:jc w:val="both"/>
      </w:pPr>
      <w:r>
        <w:rPr>
          <w:rFonts w:ascii="仿宋_GB2312" w:hAnsi="仿宋_GB2312" w:eastAsia="仿宋_GB2312"/>
          <w:b w:val="0"/>
          <w:sz w:val="32"/>
        </w:rPr>
        <w:t>3.一般公共服务支出（类）社会工作事务（款）事业运行（项）：支出决算数为118.76万元，比上年决算增加115.99万元，增长4,187.36%，主要原因是：根据政府相关工作安排我单位与2024年7月设立，2024年人员均在原单位发放工资缴纳社会保险费，只拨付了办公经费；年末按文件要求追加人员工资调标部分。2025年纳入全面预算。</w:t>
      </w:r>
    </w:p>
    <w:p>
      <w:pPr>
        <w:spacing w:line="580" w:lineRule="exact"/>
        <w:ind w:firstLine="640"/>
        <w:jc w:val="both"/>
      </w:pPr>
      <w:r>
        <w:rPr>
          <w:rFonts w:ascii="仿宋_GB2312" w:hAnsi="仿宋_GB2312" w:eastAsia="仿宋_GB2312"/>
          <w:b w:val="0"/>
          <w:sz w:val="32"/>
        </w:rPr>
        <w:t>4.一般公共服务支出（类）社会工作事务（款）其他社会工作事务支出（项）：支出决算数为22.72万元，比上年决算增加12.72万元，增长127.20%，主要原因是：根据政府相关工作安排我单位与2024年7月设立，2024年人员均在原单位发放工资缴纳社会保险费，只拨付了办公经费；年末按文件要求追加人员工资调标部分。2025年纳入全面预算。</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2.21万元，比上年决算增加2.21万元，增长100.00%，主要原因是：根据政府相关工作安排我单位与2024年7月设立，2024年人员均在原单位发放工资缴纳社会保险费，只拨付了办公经费；年末按文件要求追加人员工资调标部分。2025年纳入全面预算。</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31.31万元，比上年决算增加31.31万元，增长100.00%，主要原因是：根据政府相关工作安排我单位与2024年7月设立，2024年人员均在原单位发放工资缴纳社会保险费，只拨付了办公经费；年末按文件要求追加人员工资调标部分。2025年纳入全面预算。</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21.55万元，比上年决算增加21.55万元，增长100.00%，主要原因是：根据政府相关工作安排我单位与2024年7月设立，2024年人员均在原单位发放工资缴纳社会保险费，只拨付了办公经费；年末按文件要求追加人员工资调标部分。2025年纳入全面预算。</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8.70万元，比上年决算增加8.70万元，增长100.00%，主要原因是：根据政府相关工作安排我单位与2024年7月设立，2024年人员均在原单位发放工资缴纳社会保险费，只拨付了办公经费；年末按文件要求追加人员工资调标部分。2025年纳入全面预算。</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9.41万元，比上年决算增加9.41万元，增长100.00%，主要原因是：根据政府相关工作安排我单位与2024年7月设立，2024年人员均在原单位发放工资缴纳社会保险费，只拨付了办公经费；年末按文件要求追加人员工资调标部分。2025年纳入全面预算。</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7.83万元，比上年决算增加7.83万元，增长100.00%，主要原因是：根据政府相关工作安排我单位与2024年7月设立，2024年人员均在原单位发放工资缴纳社会保险费，只拨付了办公经费；年末按文件要求追加人员工资调标部分。2025年纳入全面预算。</w:t>
      </w:r>
    </w:p>
    <w:p>
      <w:pPr>
        <w:spacing w:line="580" w:lineRule="exact"/>
        <w:ind w:firstLine="640"/>
        <w:jc w:val="both"/>
      </w:pPr>
      <w:r>
        <w:rPr>
          <w:rFonts w:ascii="仿宋_GB2312" w:hAnsi="仿宋_GB2312" w:eastAsia="仿宋_GB2312"/>
          <w:b w:val="0"/>
          <w:sz w:val="32"/>
        </w:rPr>
        <w:t>11.住房保障支出（类）住房改革支出（款）住房公积金（项）：支出决算数为25.77万元，比上年决算增加25.77万元，增长100.00%，主要原因是：根据政府相关工作安排我单位与2024年7月设立，2024年人员均在原单位发放工资缴纳社会保险费，只拨付了办公经费；年末按文件要求追加人员工资调标部分。2025年纳入全面预算。</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2025年度一般公共预算财政拨款基本支出442.02万元，其中：</w:t>
      </w:r>
      <w:r>
        <w:rPr>
          <w:rFonts w:ascii="仿宋_GB2312" w:hAnsi="仿宋_GB2312" w:eastAsia="仿宋_GB2312"/>
          <w:b/>
          <w:sz w:val="32"/>
        </w:rPr>
        <w:t>人员经费397.93万元，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公用经费44.09万元，</w:t>
      </w:r>
      <w:r>
        <w:rPr>
          <w:rFonts w:ascii="仿宋_GB2312" w:hAnsi="仿宋_GB2312" w:eastAsia="仿宋_GB2312"/>
          <w:b w:val="0"/>
          <w:sz w:val="32"/>
        </w:rPr>
        <w:t>包括：办公费、印刷费、水费、邮电费、差旅费、维修（护）费、专用材料费、劳务费、委托业务费、工会经费、公务用车运行维护费、其他交通费用、其他商品和服务支出、专用设备购置。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2025年度财政拨款“三公”经费支出3.20万元，</w:t>
      </w:r>
      <w:r>
        <w:rPr>
          <w:rFonts w:ascii="仿宋_GB2312" w:hAnsi="仿宋_GB2312" w:eastAsia="仿宋_GB2312"/>
          <w:b w:val="0"/>
          <w:sz w:val="32"/>
        </w:rPr>
        <w:t>比上年增加3.20万元，增长100.00%，主要原因是：根据政府相关工作安排我单位与2024年7月设立，2024年人员均在原单位发放工资缴纳社会保险费，只拨付了办公经费；年末按文件要求追加人员工资调标部分。2025年纳入全面预算。</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3.20万元，占100.00%，比上年增加3.20万元，增长100.00%，主要原因是：根据政府相关工作安排我单位与2024年7月设立，2024年人员均在原单位发放工资缴纳社会保险费，只拨付了办公经费；年末按文件要求追加人员工资调标部分。2025年纳入全面预算。</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3.20万元，其中：公务用车购置费0.00万元，公务用车运行维护费3.20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3.20万元，预决算差异率-20.00%，主要原因是：严格落实中央八项规定精神，厉行节约，减少公务用车使用频次，燃油费减少。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3.20万元，预决算差异率-20.00%，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共吉木萨尔县委员会社会工作部（行政单位和参照公务员法管理事业单位）机关运行经费支出44.09万元，比上年增加34.09万元，增长340.90%，主要原因是：根据政府相关工作安排我单位与2024年7月设立，2024年人员均在原单位发放工资缴纳社会保险费，只拨付了办公经费；年末按文件要求追加人员工资调标部分。2025年纳入全面预算。</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2025年度政府采购支出总额0.83万元，其中：政府采购货物支出0.79万元、政府采购工程支出0.00万元、政府采购服务支出0.04万元。</w:t>
      </w:r>
    </w:p>
    <w:p>
      <w:pPr>
        <w:spacing w:line="580" w:lineRule="exact"/>
        <w:ind w:firstLine="640"/>
        <w:jc w:val="both"/>
      </w:pPr>
      <w:r>
        <w:rPr>
          <w:rFonts w:ascii="仿宋_GB2312" w:hAnsi="仿宋_GB2312" w:eastAsia="仿宋_GB2312"/>
          <w:b w:val="0"/>
          <w:sz w:val="32"/>
        </w:rPr>
        <w:t>授予中小企业合同金额0.83万元，占政府采购支出总额的100.00%，其中：授予小微企业合同金额0.83万元，占政府采购支出总额的100.00%。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1,836.91平方米，价值859.36万元。车辆1辆，价值14.83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449.32万元，实际执行总额448.49万元；预算绩效评价项目2个，全年预算数6.00万元，全年执行数6.00万元。预算绩效管理取得的成效：一是：不折不扣贯彻落实习近平总书记重要讲话和重要指示批示精神。严格执行“第一议题”制度，及时跟进学习近平总书记关于基层治理和社会工作的重要讲话、重要指示批示精神和区、州、县党委工作要求，结合实际、举一反三抓好贯彻落实。二是：推进人民信访工作高质量发展。完善“都庭好”小程序，畅通人民建议征集渠道，建立人民意见征集点，做实群众困难诉求办理联动机制，构建完整、闭环、可追溯的人民建议和群众困难诉求办理工作体系。三是：加强党建引领基层治理示范引领。优化党组织领导的“自治法治德治”相结合的基层治理体系，持续推广运用“北庭枫桥”社会治理服务品牌，加强党建引领城乡社区服务体系建设；做好2026年村（社区）委员会换届前期准备工作，积极参与乡镇（街道）履职事项清单工作。四是：充分发挥“两新”工委职能作用，扎实做好“两企三新”和行业协会商会党建工作。调整优化四个专项组成员单位，明确成员责任，培育和打造10个党建示范点；持续推进“两个全覆盖”工作；建立快递员、外卖员领域和交通运输行业领域党支部11个；发动新就业群体担任网格员，引导新就业群体参与基层治理；推动行业协会商会党组织应建尽建，做好党建指导员选派管理和群团组织组建工作。五是：努力提升社会工作人才队伍建设水平和志愿服务工作。加大对社区工作者考取社工证书教育引导和培训提升力度，申请资金或项目聘请第三方培训机构对我县396名社区工作者进行专业培训，切实提高社会工作者队伍素质；加大力度支持与群众生产生活密切相关的志愿服务事业发展和品牌建设，严审志愿者的入口关，全年开展志愿服务活动1300余场次，分类分领域推动打造一批富有吉木萨尔特色的志愿服务品牌。发现的问题及原因：一是人员力量配置与工作需求不匹配，制约效能发挥。现有工作人员共13名，其中工勤人员2名、政府购买岗2名、长期抽调专班2人、驻村1名，实际承担核心业务的专职人员仅6名。社会工作部与信访局合署办公后，需统筹信访、基层治理、“三新”党建、志愿服务等多重职能，人员“一人多岗”现象突出。建议社会工作部长与信访局长分设，明确职责分工，避免“一肩挑”导致的精力不足，提升专业化管理水平。二是发挥企业党建引领作用不足。在推动企业建立党组织工作中，缺乏行之有效的激励机制与实践抓手，未能充分调动企业参与党建工作的主动性和积极性，导致企业党建覆盖面和影响力有限。三是基层治理经验挖掘推广滞后。乡镇层面尚未形成可复制、可推广的基层治理典型案例，尤其在“自治、法治、德治”三治融合实践方面，与文明路社区等先进示范点存在较大差距，未能有效发挥基层治理经验的示范带动效应。四是村委会换届选举后备力量储备不足，基层治理基础待夯实。当前村委会成员中（283人）45岁以上人员占比超63.6%（180人），35岁以下年轻干部仅占16.6%（47人），存在“年龄结构老化、能力层次不齐”问题。部分村干部对数字化治理、政策解读等新要求适应较慢，后备人才库储备不足，换届选举时“选人难、选优难”现象突出，影响基层政权建设和服务群众效能。五是社区工作者专业能力不足，服务供给与群众需求存在差距。全县社区工作者持证率仅为30%。现有人员多依赖经验开展工作，在心理咨询、矛盾调解、特殊群体帮扶等专业服务中能力不足，难以满足群众多元化需求。社区服务经费无法通过购买第三方服务填补人员短板，制约服务精细化、专业化水平提升。下一步改进措施：一是优化人员配置与职责分工：建议分设社会工作部长与信访局长，明确职责，解决“一肩挑”精力不足问题，破解人员“一人多岗”困境，提升专业化管理效能。二是强化企业党建引领：建立行之有效的激励机制与实践抓手，调动企业参与党建工作的主动性和积极性，扩大企业党建覆盖面与影响力。三是加快基层治理经验推广：挖掘乡镇层面基层治理典型案例，重点推进“自治、法治、德治”三治融合实践，打造可复制、可推广的经验模式，发挥示范带动效应。四是夯实基层治理基础：加强村委会换届选举后备力量储备，优化村干部年龄结构，充实后备人才库，提升村干部数字化治理、政策解读等能力，解决“选人难、选优难”问题。五是提升社区工作者专业能力：针对性开展专业培训，提高社区工作者持证率，同时争取保障社区服务经费，通过购买第三方服务填补人员专业短板，提升社区服务精细化、专业化水平。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中共吉木萨尔县委员会社会工作部</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351.42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445.02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445.02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0.47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817.84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898.64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896.98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817.84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898.64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896.98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目标1：不折不扣贯彻落实习近平总书记重要讲话和重要指示批示精神。严格执行“第一议题”制度，及时跟进学习习近平总书记关于基层治理和社会工作的重要讲话、重要指示批示精神和区、州、县党委工作要求，结合实际、举一反三抓好贯彻落实。
目标2：推进人民信访工作高质量发展。完善“都庭好”小程序，畅通人民建议征集渠道，建立人民意见征集点，做实群众困难诉求办理联动机制，构建完整、闭环、可追溯的人民建议和群众困难诉求办理工作体系。
目标3：加强党建引领基层治理示范引领。优化党组织领导的“自治 法治 德治”相结合的基层治理体系，持续推广运用“北庭枫桥”社会治理服务品牌，加强党建引领城乡社区服务体系建设；做好2026年村（社区）委员会换届前期准备工作，积极参与乡镇（街道）履职事项清单工作。
目标4：充分发挥“两新”工委职能作用，扎实做好“两企三新”和行业协会商会党建工作。调整优化四个专项组成员单位，明确成员责任，培育和打造5个党建示范点；持续推进“两个全覆盖”工作；建立快递员、外卖员领域和交通运输行业领域党支部各1个；发动新就业群体担任网格员，引导新就业群体参与基层治理；推动行业协会商会党组织应建尽建，做好党建指导员选派管理和群团组织组建工作。
目标5：努力提升社会工作人才队伍建设水平和志愿服务工作。加大对社区工作者考取社工证书教育引导和培训提升力度，申请资金或项目聘请第三方培训机构对我县474名社区工作者进行专业培训，切实提高社会工作者队伍素质；加大力度支持与群众生产生活密切相关的志愿服务事业发展和品牌建设，严审志愿者的入口关，全年开展志愿服务活动不少于500场次，分类分领域推动打造一批富有吉木萨尔特色的志愿服务品牌。</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449.32万元，全年实际支出资金448.49万元，预算执行率为99.82%，我单位按照相关工作安排要求，完成以下工作：1.不折不扣贯彻落实习近平总书记重要讲话和重要指示批示精神。严格执行“第一议题”制度，及时跟进学习习近平总书记关于基层治理和社会工作的重要讲话、重要指示批示精神和区、州、县党委工作要求，结合实际、举一反三抓好贯彻落实。2.推进人民信访工作高质量发展。完善“都庭好”小程序，畅通人民建议征集渠道，建立人民意见征集点，做实群众困难诉求办理联动机制，构建完整、闭环、可追溯的人民建议和群众困难诉求办理工作体系。3.加强党建引领基层治理示范引领。优化党组织领导的“自治 法治 德治”相结合的基层治理体系，持续推广运用“北庭枫桥”社会治理服务品牌，加强党建引领城乡社区服务体系建设；做好2026年村（社区）委员会换届前期准备工作，积极参与乡镇（街道）履职事项清单工作。4.充分发挥“两新”工委职能作用，扎实做好“两企三新”和行业协会商会党建工作。调整优化四个专项组成员单位，明确成员责任，培育和打造10个党建示范点；持续推进“两个全覆盖”工作；建立快递员、外卖员领域和交通运输行业领域党支部11个；发动新就业群体担任网格员，引导新就业群体参与基层治理；推动行业协会商会党组织应建尽建，做好党建指导员选派管理和群团组织组建工作。5.努力提升社会工作人才队伍建设水平和志愿服务工作。加大对社区工作者考取社工证书教育引导和培训提升力度，申请资金或项目聘请第三方培训机构对我县396名社区工作者进行专业培训，切实提高社会工作者队伍素质；加大力度支持与群众生产生活密切相关的志愿服务事业发展和品牌建设，严审志愿者的入口关，全年开展志愿服务活动1300余场次，分类分领域推动打造一批富有吉木萨尔特色的志愿服务品牌。</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培育和打造党建示范点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吉木萨尔县委社会工作部2024年重点工作及2025年工作计划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建立快递员、外卖员领域和交通运输行业领域党支部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吉木萨尔县委社会工作部2024年重点工作及2025年工作计划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社区工作者进行专业培训覆盖人数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&gt;=474名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吉木萨尔县委社会工作部2024年重点工作及2025年工作计划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=496名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开展志愿服务活动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吉木萨尔县委社会工作部2024年重点工作及2025年工作计划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=1300场次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申报“北庭星火”人才项目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吉木萨尔县委社会工作部2024年重点工作及2025年工作计划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案件及时受理率、按期办结率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吉木萨尔县委社会工作部2024年重点工作及2025年工作计划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基层化解办理率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吉木萨尔县委社会工作部2024年重点工作及2025年工作计划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社工部昌州财行（2024)39号关于拨付基层组织建设补助经费的通知（五个好党支部）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吉木萨尔县社会工作部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中共吉木萨尔县委员会社会工作部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表扬先进、凝聚合力，示范推动基层党组织全面进步、全面过硬，激励全州各领域党支部更好展现担当、彰显作为。项目总金额计划花费3万元。用于办公及党建活动经费支出，完成时间2025年12月31日，奖励对象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截止2025年12月31日，项目实际支出3万元，预算执行率100%，用于办公及党建活动经费支出，表扬先进、凝聚合力，示范推动基层党组织全面进步、全面过硬，激励全州各领域党支部更好展现担当、彰显作为。</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慰问党员次数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活动举办完成率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党员培训教育保障经费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党内活动经费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主题党日+活动经费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慰问党员经费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提高党员活动积极性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奖励对象满意度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社工部昌州财行（2025）31号关于拨付基层组织经费的通知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中共吉木萨尔县委员会社会工作部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为进一步强化典型案例引领，落实正向激励措施，示范带动全州各个领域“五个好”标准化规范化党支部建设提质增效。进位之星补助发放经费为3万元，奖励对象满意度95%以上。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截止2025年12月31日，项目实际支出3万元，预算执行率100%，进位之星补助发放经费为3万元，进一步强化了典型案例引领，落实正向激励措施，示范带动全州各个领域“五个好”标准化规范化党支部建设提质增效。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自治区级“进位之星”（个）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强化典型引领，落实正向激励措施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有效强化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奖励对象满意度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本单位2025年度无政府采购支出，授予中小企业合同金额0.00万元。</w:t>
      </w:r>
    </w:p>
    <w:p>
      <w:pPr>
        <w:spacing w:line="580" w:lineRule="exact"/>
        <w:ind w:firstLine="640"/>
        <w:jc w:val="both"/>
      </w:pPr>
      <w:r>
        <w:rPr>
          <w:rFonts w:ascii="仿宋_GB2312" w:hAnsi="仿宋_GB2312" w:eastAsia="仿宋_GB2312"/>
          <w:b w:val="0"/>
          <w:sz w:val="32"/>
        </w:rPr>
        <w:t>本年度本单位政府采购为大型企业采购，故授予中小企业合同金额为0.00万元。</w:t>
      </w:r>
    </w:p>
    <w:p>
      <w:pPr>
        <w:spacing w:line="580" w:lineRule="exact"/>
        <w:ind w:firstLine="640"/>
        <w:jc w:val="both"/>
      </w:pPr>
      <w:r>
        <w:rPr>
          <w:rFonts w:ascii="仿宋_GB2312" w:hAnsi="仿宋_GB2312" w:eastAsia="仿宋_GB2312"/>
          <w:b w:val="0"/>
          <w:sz w:val="32"/>
        </w:rPr>
        <w:t>本年度本单位政府采购为大中型企业采购，故授予小微企业合同金额为0.00万元。</w:t>
      </w:r>
    </w:p>
    <w:p>
      <w:pPr>
        <w:spacing w:line="580" w:lineRule="exact"/>
        <w:ind w:firstLine="640"/>
        <w:jc w:val="both"/>
      </w:pPr>
      <w:r>
        <w:rPr>
          <w:rFonts w:ascii="仿宋_GB2312" w:hAnsi="仿宋_GB2312" w:eastAsia="仿宋_GB2312"/>
          <w:b w:val="0"/>
          <w:sz w:val="32"/>
        </w:rPr>
        <w:t>本年度本单位整体绩效自评表由主管部门编报并公开。</w:t>
      </w:r>
    </w:p>
    <w:p>
      <w:pPr>
        <w:spacing w:line="580" w:lineRule="exact"/>
        <w:ind w:firstLine="640"/>
        <w:jc w:val="both"/>
      </w:pPr>
      <w:r>
        <w:rPr>
          <w:rFonts w:ascii="仿宋_GB2312" w:hAnsi="仿宋_GB2312" w:eastAsia="仿宋_GB2312"/>
          <w:b w:val="0"/>
          <w:sz w:val="32"/>
        </w:rPr>
        <w:t>本年度本单位整体绩效自评表不予公开。</w:t>
      </w:r>
    </w:p>
    <w:p>
      <w:pPr>
        <w:spacing w:line="580" w:lineRule="exact"/>
        <w:ind w:firstLine="640"/>
        <w:jc w:val="both"/>
      </w:pPr>
      <w:r>
        <w:rPr>
          <w:rFonts w:ascii="仿宋_GB2312" w:hAnsi="仿宋_GB2312" w:eastAsia="仿宋_GB2312"/>
          <w:b w:val="0"/>
          <w:sz w:val="32"/>
        </w:rPr>
        <w:t>本年本单位其他项目1个，全年预算数354.42万元，全年执行数448.02万元。</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