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中共吉木萨尔县委员会机构编制委员会办公室</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贯彻执行党和国家以及县、自治州关于行政管理体制改革、机构改革和机构编制管理的法规、政策，研究拟定吉木萨尔县行政管理体制改革、机构改革和机构编制管理的规定和办法，并组织实施；统一管理全县各级党政机关，人大常委会机关、政协机关、法院机关、检察机关、人民团体机关和群众团体机关及事业单位的机构编制工作；研究拟定全县行政管理体制与机构改革的总体方案，审核县党政机关各部门，人大和政协机关，法院和检察机关，各民主党派、人民团体和群众团体机关的“三定”规定（方案）和机构改革方案；审核各乡（镇）机构改革方案和机构改革实施意见；负责县直机关各部门的职能配置和调整工作；协调县直机关各部门之间以及县直机关各部门与乡(镇)之间的职责分工；审核县直机关、直属事业单位和各乡镇的机构设置、人员编制、领导职数；审核县直机关各部门所属事业单位的机构设置、职责任务、人员编制、领导职数和经费形式；审核县人大常委会机关、政协机关、法院机关、检察机关及人民团体机关和群众团体机关的机构设置、人员编制、领导职数；负责全县事业单位登记管理工作；依法保护核准登记事业单位有关登记事项的合法权益，依法处理违反登记管理条例和细则的行为；加强机构编制管理督查工作，监督检查全县行政管理体制改革、机构改革、事业单位分类改革和机构编制执行情况，及时向县机构编制委员会和县委、人民政府报告工作；查处违反机构编制法规和规定的行为；负责全县行政管理体制改革、机构改革和机构编制管理的理论研究和信息收集工作；负责全县机构编制的统计汇总、上报工作；配合县财政、人事部门做好全县财政统一发放工资的有关工作；负责联系、协调双重领导、以条管理为主的单位的有关机构编制事宜；完成县党委、县人民政府和县机构编制委员会交办的其它工作。</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中共吉木萨尔县委员会机构编制委员会办公室无下属预算单位。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2025年度收入总计288.87万元，</w:t>
      </w:r>
      <w:r>
        <w:rPr>
          <w:rFonts w:ascii="仿宋_GB2312" w:hAnsi="仿宋_GB2312" w:eastAsia="仿宋_GB2312"/>
          <w:b w:val="0"/>
          <w:sz w:val="32"/>
        </w:rPr>
        <w:t>其中：本年收入合计286.78万元，使用非财政拨款结余（含专用结余）0.00万元，年初结转和结余2.09万元。</w:t>
      </w:r>
    </w:p>
    <w:p>
      <w:pPr>
        <w:spacing w:line="580" w:lineRule="exact"/>
        <w:ind w:firstLine="640"/>
        <w:jc w:val="both"/>
      </w:pPr>
      <w:r>
        <w:rPr>
          <w:rFonts w:ascii="仿宋_GB2312" w:hAnsi="仿宋_GB2312" w:eastAsia="仿宋_GB2312"/>
          <w:b/>
          <w:sz w:val="32"/>
        </w:rPr>
        <w:t>2025年度支出总计288.87万元，</w:t>
      </w:r>
      <w:r>
        <w:rPr>
          <w:rFonts w:ascii="仿宋_GB2312" w:hAnsi="仿宋_GB2312" w:eastAsia="仿宋_GB2312"/>
          <w:b w:val="0"/>
          <w:sz w:val="32"/>
        </w:rPr>
        <w:t>其中：本年支出合计286.83万元，结余分配0.00万元，年末结转和结余2.04万元。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增加48.46万元，增长20.16%，主要原因是：本年在职人员增加，人员工资调增，社保、公积金基数调增，人员经费增加，财政拨款和非财政拨款增加。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本年收入286.78万元，</w:t>
      </w:r>
      <w:r>
        <w:rPr>
          <w:rFonts w:ascii="仿宋_GB2312" w:hAnsi="仿宋_GB2312" w:eastAsia="仿宋_GB2312"/>
          <w:b w:val="0"/>
          <w:sz w:val="32"/>
        </w:rPr>
        <w:t>其中：财政拨款收入286.17万元，占99.79%；上级补助收入0.00万元，占0.00%；事业收入0.00万元，占0.00%；经营收入0.00万元，占0.00%；附属单位上缴收入0.00万元，占0.00%；其他收入0.60万元，占0.21%。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本年支出286.83万元，</w:t>
      </w:r>
      <w:r>
        <w:rPr>
          <w:rFonts w:ascii="仿宋_GB2312" w:hAnsi="仿宋_GB2312" w:eastAsia="仿宋_GB2312"/>
          <w:b w:val="0"/>
          <w:sz w:val="32"/>
        </w:rPr>
        <w:t>其中：基本支出286.83万元，占100.00%；项目支出0.00万元，占0.00%；上缴上级支出0.00万元，占0.00%；经营支出0.00万元，占0.00%；对附属单位补助支出0.00万元，占0.00%。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2025年度财政拨款收入总计286.17万元，</w:t>
      </w:r>
      <w:r>
        <w:rPr>
          <w:rFonts w:ascii="仿宋_GB2312" w:hAnsi="仿宋_GB2312" w:eastAsia="仿宋_GB2312"/>
          <w:b w:val="0"/>
          <w:sz w:val="32"/>
        </w:rPr>
        <w:t>其中：年初财政拨款结转和结余0.00万元，本年财政拨款收入286.17万元。</w:t>
      </w:r>
      <w:r>
        <w:rPr>
          <w:rFonts w:ascii="仿宋_GB2312" w:hAnsi="仿宋_GB2312" w:eastAsia="仿宋_GB2312"/>
          <w:b/>
          <w:sz w:val="32"/>
        </w:rPr>
        <w:t>财政拨款支出总计286.17万元，</w:t>
      </w:r>
      <w:r>
        <w:rPr>
          <w:rFonts w:ascii="仿宋_GB2312" w:hAnsi="仿宋_GB2312" w:eastAsia="仿宋_GB2312"/>
          <w:b w:val="0"/>
          <w:sz w:val="32"/>
        </w:rPr>
        <w:t>其中：年末财政拨款结转和结余0.00万元，本年财政拨款支出286.17万元。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增加48.37万元，增长20.34%，主要原因是：本年在职人员增加，在职人员工资调增、社保、公积金基数调增，人员经费增加，财政拨款支出增加。</w:t>
      </w:r>
      <w:r>
        <w:rPr>
          <w:rFonts w:ascii="仿宋_GB2312" w:hAnsi="仿宋_GB2312" w:eastAsia="仿宋_GB2312"/>
          <w:b/>
          <w:sz w:val="32"/>
        </w:rPr>
        <w:t>与年初预算相比，</w:t>
      </w:r>
      <w:r>
        <w:rPr>
          <w:rFonts w:ascii="仿宋_GB2312" w:hAnsi="仿宋_GB2312" w:eastAsia="仿宋_GB2312"/>
          <w:b w:val="0"/>
          <w:sz w:val="32"/>
        </w:rPr>
        <w:t>年初预算数242.92万元，决算数286.17万元，预决算差异率17.80%，主要原因是：本年在职人员增加，年中追加人员经费及人员工资、社保、公积金基数调增部分资金，导致预决算存在差异，决算数增加。</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等重点支出，体现在有关支出科目中。</w:t>
      </w:r>
    </w:p>
    <w:p>
      <w:pPr>
        <w:spacing w:line="580" w:lineRule="exact"/>
        <w:ind w:firstLine="640"/>
        <w:jc w:val="both"/>
      </w:pPr>
      <w:r>
        <w:rPr>
          <w:rFonts w:ascii="仿宋_GB2312" w:hAnsi="仿宋_GB2312" w:eastAsia="仿宋_GB2312"/>
          <w:b w:val="0"/>
          <w:sz w:val="32"/>
        </w:rPr>
        <w:t>按照支出功能分类，社会保障和就业支出（类）人力资源和社会保障管理事务（款）行政运行（项）的支出占本年财政拨款支出总额的比重最高，2025年度决算数为133.56万元，占比46.67%，主要用于服务岗基本工资，其他社保、办公费支出费用增加，行政运行支出增加。</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2025年度一般公共预算财政拨款支出286.17万元，</w:t>
      </w:r>
      <w:r>
        <w:rPr>
          <w:rFonts w:ascii="仿宋_GB2312" w:hAnsi="仿宋_GB2312" w:eastAsia="仿宋_GB2312"/>
          <w:b w:val="0"/>
          <w:sz w:val="32"/>
        </w:rPr>
        <w:t>占本年支出合计的99.77%。</w:t>
      </w:r>
      <w:r>
        <w:rPr>
          <w:rFonts w:ascii="仿宋_GB2312" w:hAnsi="仿宋_GB2312" w:eastAsia="仿宋_GB2312"/>
          <w:b/>
          <w:sz w:val="32"/>
        </w:rPr>
        <w:t>与上年相比，</w:t>
      </w:r>
      <w:r>
        <w:rPr>
          <w:rFonts w:ascii="仿宋_GB2312" w:hAnsi="仿宋_GB2312" w:eastAsia="仿宋_GB2312"/>
          <w:b w:val="0"/>
          <w:sz w:val="32"/>
        </w:rPr>
        <w:t>增加48.37万元，增长20.34%，主要原因是：本年在职人员增加，人员工资调增，公积金基数调增，相关人员经费增加，导致一般公共预算财政拨款增加。</w:t>
      </w:r>
      <w:r>
        <w:rPr>
          <w:rFonts w:ascii="仿宋_GB2312" w:hAnsi="仿宋_GB2312" w:eastAsia="仿宋_GB2312"/>
          <w:b/>
          <w:sz w:val="32"/>
        </w:rPr>
        <w:t>与年初预算相比，</w:t>
      </w:r>
      <w:r>
        <w:rPr>
          <w:rFonts w:ascii="仿宋_GB2312" w:hAnsi="仿宋_GB2312" w:eastAsia="仿宋_GB2312"/>
          <w:b w:val="0"/>
          <w:sz w:val="32"/>
        </w:rPr>
        <w:t>年初预算数242.92万元，决算数286.17万元，预决算差异率17.80%，主要原因是：年中追加人员工资、社保、公积金基数调增部分资金，导致预决算存在差异，预算追加，决算增加。</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1.社会保障和就业支出（类）250.16万元，占87.42%。</w:t>
      </w:r>
    </w:p>
    <w:p>
      <w:pPr>
        <w:spacing w:line="580" w:lineRule="exact"/>
        <w:ind w:firstLine="640"/>
        <w:jc w:val="both"/>
      </w:pPr>
      <w:r>
        <w:rPr>
          <w:rFonts w:ascii="仿宋_GB2312" w:hAnsi="仿宋_GB2312" w:eastAsia="仿宋_GB2312"/>
          <w:b w:val="0"/>
          <w:sz w:val="32"/>
        </w:rPr>
        <w:t>2.卫生健康支出（类）18.04万元，占6.30%。</w:t>
      </w:r>
    </w:p>
    <w:p>
      <w:pPr>
        <w:spacing w:line="580" w:lineRule="exact"/>
        <w:ind w:firstLine="640"/>
        <w:jc w:val="both"/>
      </w:pPr>
      <w:r>
        <w:rPr>
          <w:rFonts w:ascii="仿宋_GB2312" w:hAnsi="仿宋_GB2312" w:eastAsia="仿宋_GB2312"/>
          <w:b w:val="0"/>
          <w:sz w:val="32"/>
        </w:rPr>
        <w:t>3.住房保障支出（类）17.97万元，占6.28%。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科学技术支出（类）科技条件与服务（款）其他科技条件与服务支出（项）：支出决算数为0.00万元，比上年决算减少2.40万元，下降100.00%，主要原因是：科学技术支出(类)科技条件与服务(款)其他科技条件与服务支出(项)没有预算支出，比上年减少。</w:t>
      </w:r>
    </w:p>
    <w:p>
      <w:pPr>
        <w:spacing w:line="580" w:lineRule="exact"/>
        <w:ind w:firstLine="640"/>
        <w:jc w:val="both"/>
      </w:pPr>
      <w:r>
        <w:rPr>
          <w:rFonts w:ascii="仿宋_GB2312" w:hAnsi="仿宋_GB2312" w:eastAsia="仿宋_GB2312"/>
          <w:b w:val="0"/>
          <w:sz w:val="32"/>
        </w:rPr>
        <w:t>2.社会保障和就业支出（类）人力资源和社会保障管理事务（款）行政运行（项）：支出决算数为133.56万元，比上年决算增加18.01万元，增长15.59%，主要原因是：本年新增在职人员，人员经费增加，导致行政运行经费较上年有所增加。</w:t>
      </w:r>
    </w:p>
    <w:p>
      <w:pPr>
        <w:spacing w:line="580" w:lineRule="exact"/>
        <w:ind w:firstLine="640"/>
        <w:jc w:val="both"/>
      </w:pPr>
      <w:r>
        <w:rPr>
          <w:rFonts w:ascii="仿宋_GB2312" w:hAnsi="仿宋_GB2312" w:eastAsia="仿宋_GB2312"/>
          <w:b w:val="0"/>
          <w:sz w:val="32"/>
        </w:rPr>
        <w:t>3.社会保障和就业支出（类）人力资源和社会保障管理事务（款）事业运行（项）：支出决算数为65.72万元，比上年决算增加7.27万元，增长12.44%，主要原因是：本年在职人员工资调增，人员经费增加，导致事业人员经费较上年增加。</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6.03万元，比上年决算增加1.47万元，增长32.24%，主要原因是：本年增加退休人员基础绩效奖，退休费支出比决算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21.78万元，比上年决算增加1.75万元，增长8.74%，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23.07万元，比上年决算增加13.05万元，增长130.24%，主要原因是：本年在职人员增加，人员缴费基数调整，导致机关事业单位职业年金缴费支出比决算增加。</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7.65万元，比上年决算增加0.97万元，增长14.52%，主要原因是：本年在职人员增加，人员工资基数调增，医疗缴费基数上涨，支出比上年决算增加。</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4.94万元，比上年决算增加1.61万元，增长48.35%，主要原因是：本年在职人员增加，人员工资基数调增，医疗缴费基数上涨，相应支出增加，事业单位医疗支出较上年增加。</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5.44万元，比上年决算增加4.80万元，增长750.00%，主要原因是：本年在职人员增加，人员工资基数调增，医疗缴费基数上涨，公务员医疗补助较上年增加，支出比上年决算增加。</w:t>
      </w:r>
    </w:p>
    <w:p>
      <w:pPr>
        <w:spacing w:line="580" w:lineRule="exact"/>
        <w:ind w:firstLine="640"/>
        <w:jc w:val="both"/>
      </w:pPr>
      <w:r>
        <w:rPr>
          <w:rFonts w:ascii="仿宋_GB2312" w:hAnsi="仿宋_GB2312" w:eastAsia="仿宋_GB2312"/>
          <w:b w:val="0"/>
          <w:sz w:val="32"/>
        </w:rPr>
        <w:t>10.住房保障支出（类）住房改革支出（款）住房公积金（项）：支出决算数为17.97万元，比上年决算增加1.84万元，增长11.41%，主要原因是：本年在职人员增加，人员工资基数调增，公积金缴费基数上涨，住房公积金支出较上年增加，支出比上年决算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2025年度一般公共预算财政拨款基本支出286.17万元，其中：</w:t>
      </w:r>
      <w:r>
        <w:rPr>
          <w:rFonts w:ascii="仿宋_GB2312" w:hAnsi="仿宋_GB2312" w:eastAsia="仿宋_GB2312"/>
          <w:b/>
          <w:sz w:val="32"/>
        </w:rPr>
        <w:t>人员经费258.17万元，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其他对个人和家庭的补助。</w:t>
      </w:r>
    </w:p>
    <w:p>
      <w:pPr>
        <w:spacing w:line="580" w:lineRule="exact"/>
        <w:ind w:firstLine="640"/>
        <w:jc w:val="both"/>
      </w:pPr>
      <w:r>
        <w:rPr>
          <w:rFonts w:ascii="仿宋_GB2312" w:hAnsi="仿宋_GB2312" w:eastAsia="仿宋_GB2312"/>
          <w:b/>
          <w:sz w:val="32"/>
        </w:rPr>
        <w:t>公用经费28.00万元，</w:t>
      </w:r>
      <w:r>
        <w:rPr>
          <w:rFonts w:ascii="仿宋_GB2312" w:hAnsi="仿宋_GB2312" w:eastAsia="仿宋_GB2312"/>
          <w:b w:val="0"/>
          <w:sz w:val="32"/>
        </w:rPr>
        <w:t>包括：办公费、印刷费、邮电费、差旅费、维修（护）费、培训费、工会经费、其他交通费用、其他商品和服务支出。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中共吉木萨尔县委员会机构编制委员会办公室（行政单位和参照公务员法管理事业单位）机关运行经费支出28.00万元，比上年增加4.46万元，增长18.95%，主要原因是：本年度增加履职能力现代化工作，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2025年度政府采购支出总额1.24万元，其中：政府采购货物支出1.24万元、政府采购工程支出0.00万元、政府采购服务支出0.00万元。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授予中小企业合同金额0.97万元，占政府采购支出总额的78.23%，其中：授予小微企业合同金额0.97万元，占政府采购支出总额的78.23%。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288.87万元，实际执行总额286.83万元；预算绩效评价项目0个，全年预算数0.00万元，全年执行数0.00万元。预算绩效管理取得的成效：一是绩效理念持续牢固，做到预算编制与绩效目标同步申报，实现资金绩效管理前置；二是资金配置更加优化高效，盘活存量资金，严控一般性支出，财政资金使用效益稳步提升；三是内控管理持续规范，依托预算绩效管理完善内部管理制度，规范经费审批，资产使用，财务核算流程，严控资金风险，保障财政资金安全规范运用，有力支撑机构编制各项工作有序开展。发现的问题及原因：一是绩效编制精细化不足，部分绩效指标设定偏宏观，量化指标偏少，绩效目标与业务工作贴合度有待提升；二是绩效过程管控深度不够；三是绩效评价成果运用有限，评价结果对后续预算调整、资金压减的约束作用发挥不充分；四是绩效业务能力有待加强。下一步改进措施：一是做实绩效目标源头管理；二是强化绩效运行动态监控；三是健全评价结果闭环应用；四是加强业务知识学习。具体附整体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中共吉木萨尔县委员会机构编制委员会办公室</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260.42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288.87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286.83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522.64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577.74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573.66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522.64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577.74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573.66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充分发挥引领示范作用，顺利推进我县机构编制各项改革任务，健全机构编制管理体系，强化机构编制服务保障，拟定县、乡镇机构改革方案、事业单位改革并组织实施，推进29个部门权责清单动态调整，调整10个乡镇机构设置管理体质，深化事业单位改革修订22个单位三定方案；统一管理县党政机构、人大政协机关等各类事业单位即乡镇内设机构、职能配置、机构设置、人员编制和领导职数核定工作；办理编制使用手续220件，做好事业单位登记管理工作、机构编制统计工作，公开108个事业单位年度报告；保障人员经费，稳定干部队伍，及时支付各类公用经费，保证各项工作顺利开展；加大管理力度服务职能，扎实推进编办各项事业又快又好发展。</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288.87万元，全年实际支出资金286.83万元，预算执行率为99.29%，一是持续推动行政体制机制改革。根据自治区、昌吉州党委安排部署，完成县财政局、文旅局等单位的职能调整，组织部门单位开展“三定”规定修订工作，通过“三报三审”、意见征集、规范性审查等，高标准完成了“三定”规定的修订，推进机构、职能、权限、程序、责任法定化。对照党政机构改革方案工作要求，重点聚焦涉改部门机构职能优化协同高效等方面，组织专人对组织、社工、数据、林草、民政等个涉改部门单位，开展机构改革落实情况“回头看”，指出存在的不足和编制资源优化等意见建议，有效提升了部门单位编制资源使用效益。
二是完成事业单位机构编制职能调整，不断提升事业单位服务大局的能力。为进一步优化部分资源配置，明确公益属性，调整隶属关系，让“管”与“办”更匹配、权责更清晰，划清了主管部门与所属事业单位之间的职能边界。促进个事业单位高效运转。三是完善机构编制实名制管理。充分发挥机构编制在管理全流程中的基础作用，强化实名制信息数据的及时准确和高效应用，严格按照审批权限和程序要求办理用编进人手续办理各类任命、招录、招聘人员编制等出入编手续，审核出具余编卡，夯实机构编制实名制系统的基础性作用。</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办理编制使用手续</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&gt;=220件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县委编办工作有点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=220件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推进权责清单动态调整</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&gt;=29个部门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关于开展2024年吉木萨尔县本级权责清单动态调整工作的通知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=29个部门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调整乡镇机构设置管理体质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=10个乡镇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自治区关于统筹使用各类编制资源的实施意见</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=10个乡镇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深化事业单位改革修订三定方案</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中共昌吉州委员会办公室昌吉人民政府办公室关于印发《吉木萨尔县机构改革方案〉的通知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事业单位年度报告公示1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&gt;=108个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关于做好2024年度事业单位年度报告公示工作的通知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=108个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