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中共吉木萨尔县委员会政法委员会</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本单位主要职能SM不予公开。</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中共吉木萨尔县委员会政法委员会无下属预算单位。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2025年度收入总计3,533.04万元，</w:t>
      </w:r>
      <w:r>
        <w:rPr>
          <w:rFonts w:ascii="仿宋_GB2312" w:hAnsi="仿宋_GB2312" w:eastAsia="仿宋_GB2312"/>
          <w:b w:val="0"/>
          <w:sz w:val="32"/>
        </w:rPr>
        <w:t>其中：本年收入合计3,521.00万元，使用非财政拨款结余（含专用结余）0.00万元，年初结转和结余12.04万元。</w:t>
      </w:r>
    </w:p>
    <w:p>
      <w:pPr>
        <w:spacing w:line="580" w:lineRule="exact"/>
        <w:ind w:firstLine="640"/>
        <w:jc w:val="both"/>
      </w:pPr>
      <w:r>
        <w:rPr>
          <w:rFonts w:ascii="仿宋_GB2312" w:hAnsi="仿宋_GB2312" w:eastAsia="仿宋_GB2312"/>
          <w:b/>
          <w:sz w:val="32"/>
        </w:rPr>
        <w:t>2025年度支出总计3,533.04万元，</w:t>
      </w:r>
      <w:r>
        <w:rPr>
          <w:rFonts w:ascii="仿宋_GB2312" w:hAnsi="仿宋_GB2312" w:eastAsia="仿宋_GB2312"/>
          <w:b w:val="0"/>
          <w:sz w:val="32"/>
        </w:rPr>
        <w:t>其中：本年支出合计3,530.85万元，结余分配0.00万元，年末结转和结余2.19万元。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增加180.01万元，增长5.37%，主要原因是：一是2025年新增了一名事业编研究生；二是2025年增加了综治中心规范化建设项目以及综治中心速裁法庭设备采购经费。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本年收入3,521.00万元，</w:t>
      </w:r>
      <w:r>
        <w:rPr>
          <w:rFonts w:ascii="仿宋_GB2312" w:hAnsi="仿宋_GB2312" w:eastAsia="仿宋_GB2312"/>
          <w:b w:val="0"/>
          <w:sz w:val="32"/>
        </w:rPr>
        <w:t>其中：财政拨款收入3,505.77万元，占99.57%；上级补助收入0.00万元，占0.00%；事业收入0.00万元，占0.00%；经营收入0.00万元，占0.00%；附属单位上缴收入0.00万元，占0.00%；其他收入15.23万元，占0.43%。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本年支出3,530.85万元，</w:t>
      </w:r>
      <w:r>
        <w:rPr>
          <w:rFonts w:ascii="仿宋_GB2312" w:hAnsi="仿宋_GB2312" w:eastAsia="仿宋_GB2312"/>
          <w:b w:val="0"/>
          <w:sz w:val="32"/>
        </w:rPr>
        <w:t>其中：基本支出565.83万元，占16.03%；项目支出2,965.02万元，占83.97%；上缴上级支出0.00万元，占0.00%；经营支出0.00万元，占0.00%；对附属单位补助支出0.00万元，占0.00%。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2025年度财政拨款收入总计3,505.77万元，</w:t>
      </w:r>
      <w:r>
        <w:rPr>
          <w:rFonts w:ascii="仿宋_GB2312" w:hAnsi="仿宋_GB2312" w:eastAsia="仿宋_GB2312"/>
          <w:b w:val="0"/>
          <w:sz w:val="32"/>
        </w:rPr>
        <w:t>其中：年初财政拨款结转和结余0.00万元，本年财政拨款收入3,505.77万元。</w:t>
      </w:r>
      <w:r>
        <w:rPr>
          <w:rFonts w:ascii="仿宋_GB2312" w:hAnsi="仿宋_GB2312" w:eastAsia="仿宋_GB2312"/>
          <w:b/>
          <w:sz w:val="32"/>
        </w:rPr>
        <w:t>财政拨款支出总计3,505.77万元，</w:t>
      </w:r>
      <w:r>
        <w:rPr>
          <w:rFonts w:ascii="仿宋_GB2312" w:hAnsi="仿宋_GB2312" w:eastAsia="仿宋_GB2312"/>
          <w:b w:val="0"/>
          <w:sz w:val="32"/>
        </w:rPr>
        <w:t>其中：年末财政拨款结转和结余0.00万元，本年财政拨款支出3,505.77万元。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增加254.09万元，增长7.81%，主要原因是：一是2025年新增了一名事业编研究生；二是2025年增加了综治中心规范化建设项目以及综治中心速裁法庭设备采购经费；三是2025年底，增加了项目欠款的偿还。</w:t>
      </w:r>
      <w:r>
        <w:rPr>
          <w:rFonts w:ascii="仿宋_GB2312" w:hAnsi="仿宋_GB2312" w:eastAsia="仿宋_GB2312"/>
          <w:b/>
          <w:sz w:val="32"/>
        </w:rPr>
        <w:t>与年初预算相比，</w:t>
      </w:r>
      <w:r>
        <w:rPr>
          <w:rFonts w:ascii="仿宋_GB2312" w:hAnsi="仿宋_GB2312" w:eastAsia="仿宋_GB2312"/>
          <w:b w:val="0"/>
          <w:sz w:val="32"/>
        </w:rPr>
        <w:t>年初预算数1,882.86万元，决算数3,505.77万元，预决算差异率86.19%，主要原因是：年中追加综治中心规范化建设项目、综治中心速裁法庭设备采购经费以及化解工信平台外企业账款预算资金，导致预决算存在差异。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政法队伍建设经费、综治中心规范化建设经费、铁路护路工作站运行经费等重点支出，体现在有关支出科目中。</w:t>
      </w:r>
    </w:p>
    <w:p>
      <w:pPr>
        <w:spacing w:line="580" w:lineRule="exact"/>
        <w:ind w:firstLine="640"/>
        <w:jc w:val="both"/>
      </w:pPr>
      <w:r>
        <w:rPr>
          <w:rFonts w:ascii="仿宋_GB2312" w:hAnsi="仿宋_GB2312" w:eastAsia="仿宋_GB2312"/>
          <w:b w:val="0"/>
          <w:sz w:val="32"/>
        </w:rPr>
        <w:t>按照支出功能分类，公共安全支出（类）其他公共安全支出（款）其他公共安全支出（项）的支出占本年财政拨款支出总额的比重最高，2025年度决算数为2,594.30万元，占比74.00%，主要用于兼职网格员补助、三大运营商链路费还款、化解工信平台外企业账款。</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2025年度一般公共预算财政拨款支出3,505.77万元，</w:t>
      </w:r>
      <w:r>
        <w:rPr>
          <w:rFonts w:ascii="仿宋_GB2312" w:hAnsi="仿宋_GB2312" w:eastAsia="仿宋_GB2312"/>
          <w:b w:val="0"/>
          <w:sz w:val="32"/>
        </w:rPr>
        <w:t>占本年支出合计的99.29%。</w:t>
      </w:r>
      <w:r>
        <w:rPr>
          <w:rFonts w:ascii="仿宋_GB2312" w:hAnsi="仿宋_GB2312" w:eastAsia="仿宋_GB2312"/>
          <w:b/>
          <w:sz w:val="32"/>
        </w:rPr>
        <w:t>与上年相比，</w:t>
      </w:r>
      <w:r>
        <w:rPr>
          <w:rFonts w:ascii="仿宋_GB2312" w:hAnsi="仿宋_GB2312" w:eastAsia="仿宋_GB2312"/>
          <w:b w:val="0"/>
          <w:sz w:val="32"/>
        </w:rPr>
        <w:t>增加254.09万元，增长7.81%，主要原因是：较2024年，2025年中追加综治中心规范化建设项目、综治中心速裁法庭设备采购经费以及化解工信平台外企业账款预算资金。</w:t>
      </w:r>
      <w:r>
        <w:rPr>
          <w:rFonts w:ascii="仿宋_GB2312" w:hAnsi="仿宋_GB2312" w:eastAsia="仿宋_GB2312"/>
          <w:b/>
          <w:sz w:val="32"/>
        </w:rPr>
        <w:t>与年初预算相比，</w:t>
      </w:r>
      <w:r>
        <w:rPr>
          <w:rFonts w:ascii="仿宋_GB2312" w:hAnsi="仿宋_GB2312" w:eastAsia="仿宋_GB2312"/>
          <w:b w:val="0"/>
          <w:sz w:val="32"/>
        </w:rPr>
        <w:t>年初预算数1,882.86万元，决算数3,505.77万元，预决算差异率86.19%，主要原因是：年中追加综治中心规范化建设项目、综治中心速裁法庭设备采购经费以及化解工信平台外企业账款预算资金，导致预决算存在差异。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1.一般公共服务支出（类）652.73万元，占18.62%。</w:t>
      </w:r>
    </w:p>
    <w:p>
      <w:pPr>
        <w:spacing w:line="580" w:lineRule="exact"/>
        <w:ind w:firstLine="640"/>
        <w:jc w:val="both"/>
      </w:pPr>
      <w:r>
        <w:rPr>
          <w:rFonts w:ascii="仿宋_GB2312" w:hAnsi="仿宋_GB2312" w:eastAsia="仿宋_GB2312"/>
          <w:b w:val="0"/>
          <w:sz w:val="32"/>
        </w:rPr>
        <w:t>2.公共安全支出（类）2,739.37万元，占78.14%。</w:t>
      </w:r>
    </w:p>
    <w:p>
      <w:pPr>
        <w:spacing w:line="580" w:lineRule="exact"/>
        <w:ind w:firstLine="640"/>
        <w:jc w:val="both"/>
      </w:pPr>
      <w:r>
        <w:rPr>
          <w:rFonts w:ascii="仿宋_GB2312" w:hAnsi="仿宋_GB2312" w:eastAsia="仿宋_GB2312"/>
          <w:b w:val="0"/>
          <w:sz w:val="32"/>
        </w:rPr>
        <w:t>3.社会保障和就业支出（类）63.13万元，占1.80%。</w:t>
      </w:r>
    </w:p>
    <w:p>
      <w:pPr>
        <w:spacing w:line="580" w:lineRule="exact"/>
        <w:ind w:firstLine="640"/>
        <w:jc w:val="both"/>
      </w:pPr>
      <w:r>
        <w:rPr>
          <w:rFonts w:ascii="仿宋_GB2312" w:hAnsi="仿宋_GB2312" w:eastAsia="仿宋_GB2312"/>
          <w:b w:val="0"/>
          <w:sz w:val="32"/>
        </w:rPr>
        <w:t>4.卫生健康支出（类）26.08万元，占0.74%。</w:t>
      </w:r>
    </w:p>
    <w:p>
      <w:pPr>
        <w:spacing w:line="580" w:lineRule="exact"/>
        <w:ind w:firstLine="640"/>
        <w:jc w:val="both"/>
      </w:pPr>
      <w:r>
        <w:rPr>
          <w:rFonts w:ascii="仿宋_GB2312" w:hAnsi="仿宋_GB2312" w:eastAsia="仿宋_GB2312"/>
          <w:b w:val="0"/>
          <w:sz w:val="32"/>
        </w:rPr>
        <w:t>5.住房保障支出（类）24.46万元，占0.70%。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1.一般公共服务支出（类）组织事务（款）其他组织事务支出（项）：支出决算数为0.00万元，比上年决算减少2.12万元，下降100.00%，主要原因是：2025年减少访惠聚工作队人员生活补助。</w:t>
      </w:r>
    </w:p>
    <w:p>
      <w:pPr>
        <w:spacing w:line="580" w:lineRule="exact"/>
        <w:ind w:firstLine="640"/>
        <w:jc w:val="both"/>
      </w:pPr>
      <w:r>
        <w:rPr>
          <w:rFonts w:ascii="仿宋_GB2312" w:hAnsi="仿宋_GB2312" w:eastAsia="仿宋_GB2312"/>
          <w:b w:val="0"/>
          <w:sz w:val="32"/>
        </w:rPr>
        <w:t>2.一般公共服务支出（类）其他共产党事务支出（款）行政运行（项）：支出决算数为358.35万元，比上年决算增加53.51万元，增长17.55%，主要原因是：一是新增了1名事业编研究生；二是工资增加，公积金、社保、医保基数增加；三是做实2016-2017年职业年金；四是增加了铁路护路联防队员社保。</w:t>
      </w:r>
    </w:p>
    <w:p>
      <w:pPr>
        <w:spacing w:line="580" w:lineRule="exact"/>
        <w:ind w:firstLine="640"/>
        <w:jc w:val="both"/>
      </w:pPr>
      <w:r>
        <w:rPr>
          <w:rFonts w:ascii="仿宋_GB2312" w:hAnsi="仿宋_GB2312" w:eastAsia="仿宋_GB2312"/>
          <w:b w:val="0"/>
          <w:sz w:val="32"/>
        </w:rPr>
        <w:t>3.一般公共服务支出（类）其他共产党事务支出（款）事业运行（项）：支出决算数为78.94万元，比上年决算增加8.13万元，增长11.48%，主要原因是：新增了1名事业编研究生，增加了工资、社保、公积金。</w:t>
      </w:r>
    </w:p>
    <w:p>
      <w:pPr>
        <w:spacing w:line="580" w:lineRule="exact"/>
        <w:ind w:firstLine="640"/>
        <w:jc w:val="both"/>
      </w:pPr>
      <w:r>
        <w:rPr>
          <w:rFonts w:ascii="仿宋_GB2312" w:hAnsi="仿宋_GB2312" w:eastAsia="仿宋_GB2312"/>
          <w:b w:val="0"/>
          <w:sz w:val="32"/>
        </w:rPr>
        <w:t>4.一般公共服务支出（类）其他共产党事务支出（款）其他共产党事务支出（项）：支出决算数为215.43万元，比上年决算减少901.13万元，下降80.71%，主要原因是：减少平安城市建设项目经费拨款。</w:t>
      </w:r>
    </w:p>
    <w:p>
      <w:pPr>
        <w:spacing w:line="580" w:lineRule="exact"/>
        <w:ind w:firstLine="640"/>
        <w:jc w:val="both"/>
      </w:pPr>
      <w:r>
        <w:rPr>
          <w:rFonts w:ascii="仿宋_GB2312" w:hAnsi="仿宋_GB2312" w:eastAsia="仿宋_GB2312"/>
          <w:b w:val="0"/>
          <w:sz w:val="32"/>
        </w:rPr>
        <w:t>5.公共安全支出（类）公安（款）其他公安支出（项）：支出决算数为145.07万元，比上年决算减少347.93万元，下降70.57%，主要原因是：减少链路费拨款。</w:t>
      </w:r>
    </w:p>
    <w:p>
      <w:pPr>
        <w:spacing w:line="580" w:lineRule="exact"/>
        <w:ind w:firstLine="640"/>
        <w:jc w:val="both"/>
      </w:pPr>
      <w:r>
        <w:rPr>
          <w:rFonts w:ascii="仿宋_GB2312" w:hAnsi="仿宋_GB2312" w:eastAsia="仿宋_GB2312"/>
          <w:b w:val="0"/>
          <w:sz w:val="32"/>
        </w:rPr>
        <w:t>6.公共安全支出（类）其他公共安全支出（款）其他公共安全支出（项）：支出决算数为2,594.30万元，比上年决算增加1,490.41万元，增长135.01%，主要原因是：增加了化解工信平台外企业账款拨款力度。</w:t>
      </w:r>
    </w:p>
    <w:p>
      <w:pPr>
        <w:spacing w:line="580" w:lineRule="exact"/>
        <w:ind w:firstLine="640"/>
        <w:jc w:val="both"/>
      </w:pPr>
      <w:r>
        <w:rPr>
          <w:rFonts w:ascii="仿宋_GB2312" w:hAnsi="仿宋_GB2312" w:eastAsia="仿宋_GB2312"/>
          <w:b w:val="0"/>
          <w:sz w:val="32"/>
        </w:rPr>
        <w:t>7.科学技术支出（类）科技条件与服务（款）其他科技条件与服务支出（项）：支出决算数为0.00万元，比上年决算减少54.24万元，下降100.00%，主要原因是：减少了一体化联合作战平台设备购置及业务用房提升改造等项目经费的拨款。</w:t>
      </w:r>
    </w:p>
    <w:p>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8.社会保障和就业支出（类）行政事业单位养老支出（款）行政单位离退休（项）：支出决算数为9.80万元，比上年决算增加3.53万元，增长56.30%，主要原因是：增加了退休人员绩效奖金。</w:t>
      </w:r>
    </w:p>
    <w:p>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31.54万元，比上年决算增加0.79万元，增长2.57%，主要原因是：一是新增了1名事业编研究生；二是工资增加，社保基数增加。</w:t>
      </w:r>
    </w:p>
    <w:p>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21.79万元，比上年决算减少7.72万元，下降26.16%，主要原因是：上年3名退休人员，本年无退休人员，减少退休人员职业年金。</w:t>
      </w:r>
    </w:p>
    <w:p>
      <w:pPr>
        <w:spacing w:line="580" w:lineRule="exact"/>
        <w:ind w:firstLine="640"/>
        <w:jc w:val="both"/>
      </w:pPr>
      <w:r>
        <w:rPr>
          <w:rFonts w:ascii="仿宋_GB2312" w:hAnsi="仿宋_GB2312" w:eastAsia="仿宋_GB2312"/>
          <w:b w:val="0"/>
          <w:sz w:val="32"/>
        </w:rPr>
        <w:t>11.卫生健康支出（类）行政事业单位医疗（款）行政单位医疗（项）：支出决算数为11.79万元，比上年决算减少0.48万元，下降3.91%，主要原因是：行政人员退休，行政医疗减少。</w:t>
      </w:r>
    </w:p>
    <w:p>
      <w:pPr>
        <w:spacing w:line="580" w:lineRule="exact"/>
        <w:ind w:firstLine="640"/>
        <w:jc w:val="both"/>
      </w:pPr>
      <w:r>
        <w:rPr>
          <w:rFonts w:ascii="仿宋_GB2312" w:hAnsi="仿宋_GB2312" w:eastAsia="仿宋_GB2312"/>
          <w:b w:val="0"/>
          <w:sz w:val="32"/>
        </w:rPr>
        <w:t>12.卫生健康支出（类）行政事业单位医疗（款）事业单位医疗（项）：支出决算数为6.87万元，比上年决算增加3.30万元，增长92.44%，主要原因是：一是新增了1名事业编研究生，二是在职人员工资增加，医保基数上浮。</w:t>
      </w:r>
    </w:p>
    <w:p>
      <w:pPr>
        <w:spacing w:line="580" w:lineRule="exact"/>
        <w:ind w:firstLine="640"/>
        <w:jc w:val="both"/>
      </w:pPr>
      <w:r>
        <w:rPr>
          <w:rFonts w:ascii="仿宋_GB2312" w:hAnsi="仿宋_GB2312" w:eastAsia="仿宋_GB2312"/>
          <w:b w:val="0"/>
          <w:sz w:val="32"/>
        </w:rPr>
        <w:t>13.卫生健康支出（类）行政事业单位医疗（款）公务员医疗补助（项）：支出决算数为7.43万元，比上年决算增加6.42万元，增长635.64%，主要原因是：一是新增了1名事业编研究生，二是在职人员工资增加，医保基数上浮。</w:t>
      </w:r>
    </w:p>
    <w:p>
      <w:pPr>
        <w:spacing w:line="580" w:lineRule="exact"/>
        <w:ind w:firstLine="640"/>
        <w:jc w:val="both"/>
      </w:pPr>
      <w:r>
        <w:rPr>
          <w:rFonts w:ascii="仿宋_GB2312" w:hAnsi="仿宋_GB2312" w:eastAsia="仿宋_GB2312"/>
          <w:b w:val="0"/>
          <w:sz w:val="32"/>
        </w:rPr>
        <w:t>14.住房保障支出（类）住房改革支出（款）住房公积金（项）：支出决算数为24.46万元，比上年决算增加1.61万元，增长7.05%，主要原因是：一是新增了1名事业编研究生，二是在职人员工资增加，公积金基数上浮。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2025年度一般公共预算财政拨款基本支出550.97万元，其中：</w:t>
      </w:r>
      <w:r>
        <w:rPr>
          <w:rFonts w:ascii="仿宋_GB2312" w:hAnsi="仿宋_GB2312" w:eastAsia="仿宋_GB2312"/>
          <w:b/>
          <w:sz w:val="32"/>
        </w:rPr>
        <w:t>人员经费373.31万元，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公用经费177.66万元，</w:t>
      </w:r>
      <w:r>
        <w:rPr>
          <w:rFonts w:ascii="仿宋_GB2312" w:hAnsi="仿宋_GB2312" w:eastAsia="仿宋_GB2312"/>
          <w:b w:val="0"/>
          <w:sz w:val="32"/>
        </w:rPr>
        <w:t>包括：办公费、水费、电费、邮电费、取暖费、差旅费、租赁费、工会经费、公务用车运行维护费、其他交通费用、其他商品和服务支出。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2025年度财政拨款“三公”经费支出4.00万元，</w:t>
      </w:r>
      <w:r>
        <w:rPr>
          <w:rFonts w:ascii="仿宋_GB2312" w:hAnsi="仿宋_GB2312" w:eastAsia="仿宋_GB2312"/>
          <w:b w:val="0"/>
          <w:sz w:val="32"/>
        </w:rPr>
        <w:t>比上年减少2.93万元，下降42.28%，主要原因是：一是严格落实中央八项规定，厉行节约，压减公车运行费。</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公务用车购置及运行维护费支出4.00万元，占100.00%，比上年减少2.93万元，下降42.28%，主要原因是：一是严格落实中央八项规定，厉行节约，压减公车运行费。</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4.00万元，其中：公务用车购置费0.00万元，公务用车运行维护费4.00万元。公务用车运行维护费开支内容包括车辆燃油费、电车充电费、车辆保险费、车辆维修费、过路费。公务用车购置数0辆，公务用车保有量4辆。国有资产占用情况中固定资产车辆4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4.00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4.00万元，决算数4.00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中共吉木萨尔县委员会政法委员会（行政单位和参照公务员法管理事业单位）机关运行经费支出177.66万元，比上年增加53.07万元，增长42.60%，主要原因是：本年设立了综治中心，增加了综治中心运行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2025年度政府采购支出总额79.20万元，其中：政府采购货物支出32.31万元、政府采购工程支出46.38万元、政府采购服务支出0.50万元。</w:t>
      </w:r>
    </w:p>
    <w:p>
      <w:pPr>
        <w:spacing w:line="580" w:lineRule="exact"/>
        <w:ind w:firstLine="640"/>
        <w:jc w:val="both"/>
      </w:pPr>
      <w:r>
        <w:rPr>
          <w:rFonts w:ascii="仿宋_GB2312" w:hAnsi="仿宋_GB2312" w:eastAsia="仿宋_GB2312"/>
          <w:b w:val="0"/>
          <w:sz w:val="32"/>
        </w:rPr>
        <w:t>授予中小企业合同金额74.99万元，占政府采购支出总额的94.68%，其中：授予小微企业合同金额28.58万元，占政府采购支出总额的36.09%。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4辆，价值62.78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19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3,533.04万元，实际执行总额3,530.84万元；预算绩效评价项目9个，全年预算数1,304.57万元，全年执行数1,299.16万元。预算绩效管理取得的成效：一、绩效理念逐步深入人心通过常态化开展绩效政策培训、宣传解读，单位从“重分配、轻管理，重支出、轻效益”的传统思维，逐步转变为“花钱必问效、无效必问责”的绩效理念，预算编制、执行、监管全流程绩效意识显著提升，主动开展绩效自评、规范项目管理的自觉性不断增强。二、财政支出规范性和透明度提升绩效管理倒逼各单位细化项目实施方案、规范财务核算、完善内控制度，项目立项论证、资金拨付、台账管理更加规范；绩效信息随预决算公开同步向社会披露，接受社会监督，进一步提升财政资金管理透明度。发现的问题及原因：（一）存在问题：一是预算执行进度不够均衡。部分项目资金执行偏慢，存在前松后紧、年底集中支付现象，资金使用效率有待进一步提升。二是绩效成果转化不够到位。学习培训、外出考察、业务提升等成果与实际工作结合不够紧密，经验做法转化为具体举措、制度机制不够及时。三是过紧日子意识有待加强。在经费使用、成本控制上仍有优化空间，精细化管理、厉行节约的要求落实不够彻底。（二）原因分析一是思想认识不到位。对全面实施预算绩效管理的重要性认识不够深刻，“重分配、轻管理，重支出、轻绩效”的观念尚未完全转变。二是统筹协调力度不足。科室间、岗位间协同配合不够紧密，工作衔接存在间隙，整体推进合力不够强。三是制度执行不够严格。绩效管理制度、内控要求、经费管理规定在执行中不够刚性，过程监督、跟踪问效不够常态化。四是业务能力有待提升。对绩效管理政策、业务流程、系统操作等掌握不够熟练，专业能力和精细化管理水平仍需加强。下一步改进措施：（一）针对预算执行进度不均衡问题。强化全周期预算执行管控。建立“月度调度、季度通报、半年预警、年度考核”的预算执行闭环管理机制，将执行进度与科室、项目负责人绩效挂钩，压实执行责任。提前谋划项目实施节点，避免年底集中支付，提升资金使用时效性。（二）针对绩效目标管理不够精细问题一是健全绩效目标全流程管理体系。完善绩效目标编制、审核、监控、评价全链条机制，推动绩效指标从“定性为主”向“定量+定性结合”转变，细化可衡量、可考核的核心指标，强化绩效目标对预算编制、执行的刚性约束。二是加强绩效监控动态调整。常态化开展绩效运行监控，对偏离绩效目标的项目及时预警、分析原因并督促整改，实现绩效目标与预算执行的动态匹配，充分发挥绩效管理的导向作用。针对过紧日子意识有待加强问题（三）针对绩效成果转化不够到位问题一是推动学习培训成果深度转化。建立援疆培训、外出学习成果转化台账，要求参训人员结合岗位实际形成改进方案，将厦门等先进地区的基层治理、经费管理、队伍建设经验，转化为符合本地政法工作实际的制度机制和工作举措。二是强化绩效评价结果应用。健全绩效评价结果与预算安排、政策调整、干部考核挂钩机制，将评价发现的问题纳入整改清单，定期开展“回头看”，切实把绩效成果转化为提升履职效能的实际动力。（四）针对过紧日子意识有待加强问题一是深化厉行节约长效机制建设。严格落实党政机关过紧日子要求，优化支出结构，压减非刚性、非重点、非急需支出，将资金向政法主责主业、基层一线、重点项目倾斜，提升资金配置精准度。二是强化全员节约意识与内控监督。常态化开展财经纪律、节约型机关建设宣传教育，完善内控管理制度，加强对“三公”经费、办公经费等支出的全过程监督，杜绝铺张浪费，提升资金使用效益。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中共吉木萨尔县委员会政法委员会</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1,882.86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3,522.82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3,520.62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152.48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4,070.68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7,066.08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7,061.68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4,070.68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7,066.08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7,061.68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认真贯彻落实《中国共产党政法工作条例》《维护社会稳定责任制规定》，加快法治吉木萨尔、平安吉木萨尔建设，各项工作稳步推进，社会大局保持和谐稳定。全年按时发放在职职工、退休职工工资、福利，年内开展政治督查1次，对社区矫正工作开展联合执法检查1次，建综治中心1个，保障链路正常运转，保障兼职网格员补助资金及时到位，保障见义勇为资金及时发放，组织赴厦门学习干部人数96名，为吉木萨尔县改革发展创造安全稳定的社会环境。</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本单位全年预算数3533.04万元，实际支出数3530.84万元，资金执行率99.94%。2025年是全面贯彻党的二十大精神的关键之年，也是“十四五”规划收官攻坚的重要一年，县委政法委坚持以习近平新时代中国特色社会主义思想为指导，深入贯彻习近平法治思想和总体国家安全观，聚焦“社会稳定长治久安”总目标。笃行实干、担当作为，为全县高质量发展筑牢了坚实的政法屏障。2025年，坚持政治引领，认真贯彻《中国共产党政法工作条例》，不断加强政法队伍建设，年内，政法系统县派106名干部赴厦门参加培训，对县人民法院开展政治督查1次，对社区矫正工作开展联合执法检查1次，抽调力量组成评查小组对县法院和县公安局办理的案件随机抽取180件开展了案件评查。2025年3月，率先建综治中心并投入使用，让群众“进一扇门、解万般事”。保障链路正常运转，投入资金723.22万元。保障兼职网格员补助资金330万元及时发放到位，保障见义勇为资金及时发放，为吉木萨尔县改革发展创造安全稳定的社会环境。</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建成综治中心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县委政法委综治督导科2025年工作清单</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政治督察次数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县委政法委办公室（二）2025年工作思路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执法检查次数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县委政法委执法监督科2025年工作清单</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保障链路正常运转</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链路合同</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开展案卷评查次数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县委政法委执法监督科工作清单</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组织赴厦门学习干部人数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&gt;=96名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县委政法委办公室（二）2025年工作思路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=103人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网格员补助资金保障率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县委政法委综治督导科2025年工作清单</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根据州政法委要求，及时拨付见义勇为资金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州政法委通知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吉木萨尔县社会治安综合治理中心（北庭法务区）规范化建设项目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吉木萨尔县委政法委</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中共吉木萨尔县委员会政法委员会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126.99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95.91%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8.98</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126.99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计划改造装修县级综治中心规范化建设，计划投入132.40万元，通过县级综治中心规范化建设，实现登记受理、先行调解、分类流转、案结事了全流程“一站式”服务。</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126.99万元，资金执行率95.91%，本项目实际完成综治中心规范化建设。通过项目的实施，加强了矛盾纠纷从源头化解、调节优先，筑牢基层平安防线提升综治队伍专业化履职与实战处置水平，促进多方联动、共建共治治理格局形式。</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建成综治中心数量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建设完成并投入使用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=2025年4月底前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2025年4月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综治中心建设项目维修及设备采购费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&lt;=128.40万元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=122.99万元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95.79%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此项指标未完成，存在偏差，偏差率为4.21%，偏差原因为：预算金额与实际金额偏差；下一年度改进措施：建立预算执行动态台账，实时对比。</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综治中心项目设计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提升基层社会治理水平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此项指标未完成，存在偏差，偏差率为1.00%，偏差原因为：目前还有矛盾纠纷问题为化解；下一年度改进措施：常态化排查矛盾风险，落实预防在前、调节优先。</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此项指标未完成，存在偏差，偏差率为－2.11%，偏差原因为：目前还有矛盾纠纷问题为化解，影响群众满意度；下一年度改进措施：常态化排查矛盾风险，落实预防在前、调节优先。</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97.93分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吉木萨尔县社会面、视频专网核心交换机电费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吉木萨尔县委政法委</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中共吉木萨尔县委员会政法委员会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计全年电费36万元，用于保障12个月正常用电，在每月15日之前缴纳电费，确保社会面监控及视频监控服务器正常运转，保障社会面监控电表达646个，通过项目实施，可有效保障监控点位正常运转。争取使得使用单位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35万元，资金执行率100%，实际完成社会面监控及视频监控服务器正常运转，社会面监控电表达646个，有效保障监控点位正常运转。通过项目实施，加强了视频专网核心设备全天候稳定运行支撑能力，稳步提升社会治安应急指挥、视频巡视响应效率，促进社会面治安防控网络持续稳定、高效运行。</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社会面监控电表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&gt;=646个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停电故障率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按时缴纳电费时间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电费缴纳时间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电费单价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&lt;=0.44元/瓦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=0.45元/瓦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97.78%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0.44元/瓦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此项指标未完成，存在偏差，偏差率为2.22%，偏差原因为：为支撑高清监控、大数据存储，单位流量能耗上升，推高单价；下一年度改进措施：计划使用节能交换机，全面升级为高能效比。</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保障监控点位正常运转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提升业务保障能力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使用单位满意度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此项指标未完成，存在偏差，偏差率为－2.11%，偏差原因为：工程款未及时到位，影响单位满意度；下一年度改进措施：推进工程款支付进度，承诺在资料齐全后5个工作日完成审批拨付。</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98.89分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吉木萨尔县维稳指挥部设备采购及维修项目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吉木萨尔县委政法委</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中共吉木萨尔县委员会政法委员会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计划花费资金2153170元，用于我县维稳指挥部设备采购及维修，保证我县维稳指挥部的正常运行，保障视频调度、视频巡逻等工作，2025年12月31日前完成项目，使用者满意度90%以上。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6.45万元，资金执行率100%，本项目实际完成我县维稳指挥部设备采购及维修，加强了我县维稳指挥中心工作能力，保证维稳指挥部的正常运行，保障视频调度、视频巡逻等工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设备购置数量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技术服务指导</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提升基层社会治理水平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使用者满意度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2.11%，偏差原因为：我单位在前期设定满意度指标时，为确保项目产出的安全性和底线思维，设定了≥90%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政法委2024年综治视联网设备运维服务费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吉木萨尔县委政法委</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中共吉木萨尔县委员会政法委员会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2024年聘请一家服务单位，运营维护。支付服务费38.5万元。保证全县视联网设备系统有效运行、维稳指挥部视频调度顺畅、综治视联网会议正常进行。</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38.5万元，资金执行率100%，本项目实际完成支付服务费38.5万元，运于运营维护；通过本项目的实施，加强了全县视联网设备系统有效运行、维稳指挥部视频调度顺畅，稳步提升运维服务流程、标准及经费使用管理，助力矛盾纠纷排查化解、重点人员管控精准落地。</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聘请服务单位数量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保证全县视联网设备系统有效运行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此项指标未完成，存在偏差，偏差率为－3.16%，偏差原因为：工程款未及时到位，影响单位满意度；下一年度改进措施：推进工程款支付进度，承诺在资料齐全后5个工作日完成审批拨付。</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政法委2025年政府预算十五五规划前期调研课题编制费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吉木萨尔县委政法委</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中共吉木萨尔县委员会政法委员会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通过研究提出推进基层治理现代化总体方向、主要目标、工作任务、明确实施具体路径，进一步发挥网格在基层治理作用，项目总投资为5万元。通过本项目实施，课题研究报告数1个；研究报告质量率100%；研究报告及时交付率100%；有效提升基层治理水平。待项目实施完成，争取使研究成果使用者满意度不低于98%。</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万元，资金执行率100%，本项目实际完成提出推进基层治理现代化总体方向、主要目标、工作任务、明确实施具体路径，通过本项目的实施，加强中长期发展规划前瞻性研究与战略谋划能力，有效提升基层治理水平，促进经济社会发展重大问题共识凝聚与对策集成。</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课题研究报告数（个）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研究报告质量率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合格</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研究报告及时交付率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及时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资金拨付及时率（%）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项目资金投入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提升基层治理水平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研究成果使用者满意度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政法委链路费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吉木萨尔县委政法委</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中共吉木萨尔县委员会政法委员会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543.22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543.22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543.22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543.22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543.22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543.22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大运营商2025年链路费543.22万元，其中：中国移动944条链路、中国电信954条链路、中国联通359条链路，保障链路100%正常运转。通过项目的实施，为保障全县社会面视频监控和重点单位视频监控运行，接入社会面公共安全网络，县人民政府提交同意实施视频监控链路费项目。争取使使用单位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543.22万元，项目执行率100%，本项目实际完成全县社会面视频监控和重点单位视频监控运行，接入社会面公共安全网络；通过本项目的实施，确保了链路100%正常运行，增强了政法系统网络互联互通、数据共享支撑能力，提升了平安建设、政法工作信息化运行质效，促进了政法信息化体系持续完善、高效运转。</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监控服务单位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中国移动服务条数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=944条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=944条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526条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中国联通服务条数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中国电信服务条数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=954条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=954条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982条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在线率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链路保障工作时间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社会面监控点位链路条数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政法委办公楼光纤使用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小区封闭网数据线68个村委会社区专网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视联网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清真寺监控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社会面（县城及乡镇道路监控）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雪亮工程（县城及乡镇道路监控补点）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文明路、北庭路道路监控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雪亮工程（小区双仓）</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宝明顺通矿业高空云台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2024年新建平安城市（县城内171条链路）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都庭好互联网数据专网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23年政法雪亮三期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提升业务保障能力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保障链路正常运转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使用单位满意度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此项指标未完成，存在偏差，偏差率为－5.26%，偏差原因为：项目资金未及时支付到位，影响单位满意度；下一年度改进措施：加快工程款支付，承诺在资料齐全后5个工作日完成审批拨付。</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网格员补助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吉木萨尔县委政法委</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中共吉木萨尔县委员会政法委员会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新疆维吾尔自治区平安建设条例”“昌吉州城乡网格化服务管理条例”，补助标准为：五星级每月补助500元，涉及114人；四星级每月补助400元，涉及227名；三星级每月补助300元，涉及424人。每季度发放补助资金82.5万元。进一步提高兼职网格员在社会稳定和风险隐患排查化解等方面工作积极性。</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330万元，预算执行率为100%。依据兼职网格员每月积分考核为标准，实际完成每季度发放兼职网格员补助。通过本项目的实施，确保资金公平合理，切实保障兼职网格员的权益，提升了兼职网格员的工作热情与工作成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“五星”兼职网格员（人）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&gt;=114人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“四星”兼职网格员（人）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&gt;=227人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“三星”兼职网格员（人）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&gt;=424人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兼职网格员合格率（%）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兼职网格员补助发放次数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“五星”兼职网格员人均成本（元/月/人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“四星”兼职网格员人均成本（元/月/人）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“三星”兼职网格员人均成本（元/月/人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持续增加兼职网格员工作积极性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持续增加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保障基层社会治理工作不断深入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收到补助兼职网格员满意度（%）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铁路护路经费项目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吉木萨尔县委政法委</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中共吉木萨尔县委员会政法委员会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将准东联防队工作人员暂交吉木萨尔县铁路护路联防队统一管理，铁路护路联防队需要保障人员从6人增加到12人。五险及管理费用共计19.64万元。采暖费5.18万元，办公经费11.18万元，联防队人员由自治区铁路护路办配备，驻地在老台乡西地村，距离县城40余公里，需24小时驻守，主要负责乌将铁路吉木萨尔段120.759公里的巡防和守护。全年开展“五进宣传工作”次数24次，全年开展巡线工作200次以上，通过项目的实施，加强对一线铁护护路联防队员关心关爱，进一步增强铁路护路联防队员们的工作积极性和责任感，为确保我县铁路安全畅通。争取使受益联防队员满意度达到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预算执行率为100%。本项目实际完成铁路护路联防队12人。五险及管理费用共计19.64万元。采暖费5.18万元，办公经费11.18万元，联防队人员由自治区铁路护路办配备，驻地在老台乡西地村，距离县城40余公里，需24小时驻守，主要负责乌将铁路吉木萨尔段120.759公里的巡防和守护。全年开展“五进宣传工作”次数50次，全年开展巡线工作383次；通过本项目的实施，加强了辖区铁路沿线安全防护体系建设，提升了护路联防队伍履职能力与规范化管理水平，促进了铁路运输安全稳定与沿线群众安全意识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联防队员数量（人）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监管铁路里程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&gt;=120.759公里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=120.759公里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全年开展“五进宣传工作”次数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&gt;=24次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208.33%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此项指标未完成，存在偏差，偏差率为108.33，偏差原因为：宣传频次力度足、覆盖面广，任务指标超额完成，下一年度改进措施：持续丰富宣传形式，进一步提升宣传实效和群众知晓率。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安全隐患消除率（%）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此项指标未完成，存在偏差，偏差率为2.04%，偏差原因为：坚持常态化部署、多渠道全覆盖推进，隐患整改率超额完成，下一年度改进措施为：健全常态化排查机制，加大源头和回头查复力度。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全年开展巡线工作次数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91.5%，偏差原因为：严格落实日常巡线、重点时段加密巡线，圆满超额完成年度巡线任务，下一年度改进措施：优化落实日常巡线，强化重点路段、关键点位常态化巡查，提升巡线精准度和问题现场处置能力。</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经费保障月数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支出五险及管理费用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&lt;=19.64万元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采暖费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办公费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确保我县铁路安全畅通。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受益联防队员满意度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此指标未完成，存在偏差，偏差率为-3.16%，偏差原因为：经费拨付节奏滞后，资金发放不及时。下一年度改进措施为：规范经费拨付流程，提升发放时效。</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90.22分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链路费欠款项目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吉木萨尔县委政法委</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中共吉木萨尔县委员会政法委员会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偿还历年链路费欠款180万元，其中：中国移动944条链路、中国电信954条链路、中国联通358条链路，社会面点位链路条数计算标准为150元/条；政法委办公楼光纤使用计算标准为250元/条；小区封闭网数据专线68个村社区计算标准为80元/条；视联网计算标准为80元/条；清真寺监控计算标准为200元/条；社会面（县城及乡镇道路监控)计算标准为250元/条；雪亮工程9（小区双仓）计算标准为400元/条；宝明矿业顺通高空云台计算标准为150元/条；都庭好互联网数据专网计算标准为180元/条。保障链路100%正常运转。通过项目的实施，有效提升政府公信力，争取使使用单位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180万元，项目执行率100%，本项目实际完成偿还历年链路费欠款180万元，其中：中国移动944条链路、中国电信954条链路、中国联通358条链路，社会面点位链路条数计算标准为150元/条；政法委办公楼光纤使用计算标准为250元/条；小区封闭网数据专线68个村社区计算标准为80元/条；视联网计算标准为80元/条；清真寺监控计算标准为200元/条；社会面（县城及乡镇道路监控)计算标准为250元/条；雪亮工程9（小区双仓）计算标准为400元/条；宝明矿业顺通高空云台计算标准为150元/条；都庭好互联网数据专网计算标准为180元/条；通过本项目的实施，加强各类政务网络链路持续通畅，有效提升政府公信力，促进政务网络运维保障长效机制健全完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监控服务单位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中国移动链路条数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=944条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=944条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526条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中国联通链路条数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中国电信链路条数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=954条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=954条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982条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在线率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链路保障工作时间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社会面点位链路条数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政法委办公楼光纤使用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小区封闭网数据专线68个村社区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视联网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清真寺监控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社会面（县城及乡镇道路监控)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雪亮工程9（小区双仓）</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宝明矿业顺通高空云台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都庭好互联网数据专网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180元/条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保障链路正常运转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使用单位满意度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本单位无其他需要说明的事项。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