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中共吉木萨尔县委员会宣传部</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中共吉木萨尔县委员会宣传部贯彻落实党中央关于宣传思想工作方针政策和决策部署以及县、自治州及县党委工作要求，在履行职责过程中坚持好加强党对宣传工作的集中统一领导。</w:t>
      </w:r>
    </w:p>
    <w:p>
      <w:pPr>
        <w:spacing w:line="580" w:lineRule="exact"/>
        <w:ind w:firstLine="640"/>
        <w:jc w:val="both"/>
      </w:pPr>
      <w:r>
        <w:rPr>
          <w:rFonts w:ascii="仿宋_GB2312" w:hAnsi="仿宋_GB2312" w:eastAsia="仿宋_GB2312"/>
          <w:sz w:val="32"/>
        </w:rPr>
        <w:t>（一）拟订宣传思想文化工作重大方针政策和事业发展总体规划，按照县党委统一部署，协调宣传思想文化系统各部门之间的工作。</w:t>
      </w:r>
    </w:p>
    <w:p>
      <w:pPr>
        <w:spacing w:line="580" w:lineRule="exact"/>
        <w:ind w:firstLine="640"/>
        <w:jc w:val="both"/>
      </w:pPr>
      <w:r>
        <w:rPr>
          <w:rFonts w:ascii="仿宋_GB2312" w:hAnsi="仿宋_GB2312" w:eastAsia="仿宋_GB2312"/>
          <w:sz w:val="32"/>
        </w:rPr>
        <w:t>（二）统筹协调党的意识形态工作，贯彻落实县党委关于意识形态工作决策部署，组织协调意识形态工作责任制落实和日常监督检查，结合巡视巡察工作开展专项检查。</w:t>
      </w:r>
    </w:p>
    <w:p>
      <w:pPr>
        <w:spacing w:line="580" w:lineRule="exact"/>
        <w:ind w:firstLine="640"/>
        <w:jc w:val="both"/>
      </w:pPr>
      <w:r>
        <w:rPr>
          <w:rFonts w:ascii="仿宋_GB2312" w:hAnsi="仿宋_GB2312" w:eastAsia="仿宋_GB2312"/>
          <w:sz w:val="32"/>
        </w:rPr>
        <w:t>（三）统筹指导协调全县理论研究、理论学习、理论宣传工作，组织推动理论武装工作。</w:t>
      </w:r>
    </w:p>
    <w:p>
      <w:pPr>
        <w:spacing w:line="580" w:lineRule="exact"/>
        <w:ind w:firstLine="640"/>
        <w:jc w:val="both"/>
      </w:pPr>
      <w:r>
        <w:rPr>
          <w:rFonts w:ascii="仿宋_GB2312" w:hAnsi="仿宋_GB2312" w:eastAsia="仿宋_GB2312"/>
          <w:sz w:val="32"/>
        </w:rPr>
        <w:t>（四）负责规划组织全县思想政治工作和群众性精神文明建设活动；与县人民武装部共同组织全县国防教育工作；配合县委组织部做好党员教育工作，会同有关部门研究和改进群众思想教育工作。</w:t>
      </w:r>
    </w:p>
    <w:p>
      <w:pPr>
        <w:spacing w:line="580" w:lineRule="exact"/>
        <w:ind w:firstLine="640"/>
        <w:jc w:val="both"/>
      </w:pPr>
      <w:r>
        <w:rPr>
          <w:rFonts w:ascii="仿宋_GB2312" w:hAnsi="仿宋_GB2312" w:eastAsia="仿宋_GB2312"/>
          <w:sz w:val="32"/>
        </w:rPr>
        <w:t>（五）管理新闻出版行政事务，组织协调有关行政审批工作，统筹规划和指导协调新闻出版事业、产业发展，监督管理出版物内容和质量，监督管理印刷业，管理著作权，负责境外出版物来我县展览、展销等。负责县内新闻媒体的监督管理，负责新闻记者证的监督管理。</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中共吉木萨尔县委员会宣传部无下属预算单位。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2025年度收入总计1,940.83万元，</w:t>
      </w:r>
      <w:r>
        <w:rPr>
          <w:rFonts w:ascii="仿宋_GB2312" w:hAnsi="仿宋_GB2312" w:eastAsia="仿宋_GB2312"/>
          <w:b w:val="0"/>
          <w:sz w:val="32"/>
        </w:rPr>
        <w:t>其中：本年收入合计1,908.52万元，使用非财政拨款结余（含专用结余）0.00万元，年初结转和结余32.31万元。</w:t>
      </w:r>
    </w:p>
    <w:p>
      <w:pPr>
        <w:spacing w:line="580" w:lineRule="exact"/>
        <w:ind w:firstLine="640"/>
        <w:jc w:val="both"/>
      </w:pPr>
      <w:r>
        <w:rPr>
          <w:rFonts w:ascii="仿宋_GB2312" w:hAnsi="仿宋_GB2312" w:eastAsia="仿宋_GB2312"/>
          <w:b/>
          <w:sz w:val="32"/>
        </w:rPr>
        <w:t>2025年度支出总计1,940.83万元，</w:t>
      </w:r>
      <w:r>
        <w:rPr>
          <w:rFonts w:ascii="仿宋_GB2312" w:hAnsi="仿宋_GB2312" w:eastAsia="仿宋_GB2312"/>
          <w:b w:val="0"/>
          <w:sz w:val="32"/>
        </w:rPr>
        <w:t>其中：本年支出合计1,919.32万元，结余分配0.00万元，年末结转和结余21.51万元。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863.85万元，增长80.21%，主要原因是：1.本年在职人员工资调增，社保、公积金基数调增，人员经费增加。2.单位业务复杂性提升，导致单位保障经费增加。3.本年度新增重点文化旅游项目、金山WPS软件场地授权使用许可项目、“十五五”规划课题研究项目、自治区成立70周年氛围营造、意识形态工作经费、中心组学习经费、社会科学界联合会科普活动经费档案数字化加工设备购置项目、新疆形象展示平台建设项目、中华文化符号和中华民族视觉形象示范点项目等项目，导致项目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本年收入1,908.52万元，</w:t>
      </w:r>
      <w:r>
        <w:rPr>
          <w:rFonts w:ascii="仿宋_GB2312" w:hAnsi="仿宋_GB2312" w:eastAsia="仿宋_GB2312"/>
          <w:b w:val="0"/>
          <w:sz w:val="32"/>
        </w:rPr>
        <w:t>其中：财政拨款收入1,446.46万元，占75.79%；上级补助收入0.00万元，占0.00%；事业收入0.00万元，占0.00%；经营收入0.00万元，占0.00%；附属单位上缴收入0.00万元，占0.00%；其他收入462.05万元，占24.21%。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本年支出1,919.32万元，</w:t>
      </w:r>
      <w:r>
        <w:rPr>
          <w:rFonts w:ascii="仿宋_GB2312" w:hAnsi="仿宋_GB2312" w:eastAsia="仿宋_GB2312"/>
          <w:b w:val="0"/>
          <w:sz w:val="32"/>
        </w:rPr>
        <w:t>其中：基本支出864.04万元，占45.02%；项目支出1,055.28万元，占54.98%；上缴上级支出0.00万元，占0.00%；经营支出0.00万元，占0.00%；对附属单位补助支出0.00万元，占0.00%。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2025年度财政拨款收入总计1,446.46万元，</w:t>
      </w:r>
      <w:r>
        <w:rPr>
          <w:rFonts w:ascii="仿宋_GB2312" w:hAnsi="仿宋_GB2312" w:eastAsia="仿宋_GB2312"/>
          <w:b w:val="0"/>
          <w:sz w:val="32"/>
        </w:rPr>
        <w:t>其中：年初财政拨款结转和结余0.00万元，本年财政拨款收入1,446.46万元。</w:t>
      </w:r>
      <w:r>
        <w:rPr>
          <w:rFonts w:ascii="仿宋_GB2312" w:hAnsi="仿宋_GB2312" w:eastAsia="仿宋_GB2312"/>
          <w:b/>
          <w:sz w:val="32"/>
        </w:rPr>
        <w:t>财政拨款支出总计1,446.46万元，</w:t>
      </w:r>
      <w:r>
        <w:rPr>
          <w:rFonts w:ascii="仿宋_GB2312" w:hAnsi="仿宋_GB2312" w:eastAsia="仿宋_GB2312"/>
          <w:b w:val="0"/>
          <w:sz w:val="32"/>
        </w:rPr>
        <w:t>其中：年末财政拨款结转和结余0.00万元，本年财政拨款支出1,446.46万元。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452.19万元，增长45.48%，主要原因是：1.本年在职人员工资调增，社保、公积金基数调增，人员经费增加。2.单位业务复杂性提升，导致单位保障经费增加。3.本年度新增重点文化旅游项目、金山WPS软件场地授权使用许可项目、“十五五”规划课题研究项目、自治区成立70周年氛围营造、意识形态工作经费、中心组学习经费、社会科学界联合会科普活动经费档案数字化加工设备购置项目等项目，导致项目资金增加。</w:t>
      </w:r>
      <w:r>
        <w:rPr>
          <w:rFonts w:ascii="仿宋_GB2312" w:hAnsi="仿宋_GB2312" w:eastAsia="仿宋_GB2312"/>
          <w:b/>
          <w:sz w:val="32"/>
        </w:rPr>
        <w:t>与年初预算相比，</w:t>
      </w:r>
      <w:r>
        <w:rPr>
          <w:rFonts w:ascii="仿宋_GB2312" w:hAnsi="仿宋_GB2312" w:eastAsia="仿宋_GB2312"/>
          <w:b w:val="0"/>
          <w:sz w:val="32"/>
        </w:rPr>
        <w:t>年初预算数1,486.33万元，决算数1,446.46万元，预决算差异率-2.68%，主要原因是：1.本年在职人员退休1人，年中调减人员经费，导致预决算存在差异。2.严格落实中央八项规定精神，厉行节约，减少不必要的开支。3.年初预算中重点文化旅游项目经费，年中实施项目计划进行调整，部分项目整合开展，资金节约，导致实际执行数减少。4.金山WPS软件场地授权使用许可项目厉行节约，过程动态复核，结余部分资金上缴财政。</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按照支出功能分类，一般公共服务支出（类）宣传事务（款）行政运行（项）的支出占本年财政拨款支出总额的比重最高，2025年度决算数为621.62万元，占比42.98%，主要用于人员工资福利、日常公用经费等。。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2025年度一般公共预算财政拨款支出1,446.46万元，</w:t>
      </w:r>
      <w:r>
        <w:rPr>
          <w:rFonts w:ascii="仿宋_GB2312" w:hAnsi="仿宋_GB2312" w:eastAsia="仿宋_GB2312"/>
          <w:b w:val="0"/>
          <w:sz w:val="32"/>
        </w:rPr>
        <w:t>占本年支出合计的75.36%。</w:t>
      </w:r>
      <w:r>
        <w:rPr>
          <w:rFonts w:ascii="仿宋_GB2312" w:hAnsi="仿宋_GB2312" w:eastAsia="仿宋_GB2312"/>
          <w:b/>
          <w:sz w:val="32"/>
        </w:rPr>
        <w:t>与上年相比，</w:t>
      </w:r>
      <w:r>
        <w:rPr>
          <w:rFonts w:ascii="仿宋_GB2312" w:hAnsi="仿宋_GB2312" w:eastAsia="仿宋_GB2312"/>
          <w:b w:val="0"/>
          <w:sz w:val="32"/>
        </w:rPr>
        <w:t>增加452.19万元，增长45.48%，主要原因是：1.本年度按照要求调整工资基数。2.本年度单位业务复杂性提升，导致运转类经费增加。3.本年度新增重点文化旅游、金山WPS软件场地授权使用许可、“十五五”规划课题研究、自治区成立70周年氛围营造、意识形态工作经费、中心组学习经费、社会科学界联合会科普活动经费档案数字化加工设备购置等项目。</w:t>
      </w:r>
      <w:r>
        <w:rPr>
          <w:rFonts w:ascii="仿宋_GB2312" w:hAnsi="仿宋_GB2312" w:eastAsia="仿宋_GB2312"/>
          <w:b/>
          <w:sz w:val="32"/>
        </w:rPr>
        <w:t>与年初预算相比，</w:t>
      </w:r>
      <w:r>
        <w:rPr>
          <w:rFonts w:ascii="仿宋_GB2312" w:hAnsi="仿宋_GB2312" w:eastAsia="仿宋_GB2312"/>
          <w:b w:val="0"/>
          <w:sz w:val="32"/>
        </w:rPr>
        <w:t>年初预算数1,486.33万元，决算数1,446.46万元，预决算差异率-2.68%，主要原因是：1.年初预算中包含终点文化旅游项目经费，年中实施项目计划进行调整，部分项目整合开展，资金节约，导致实际执行数减少。2.金山WPS软件场地授权使用许可项目，厉行节约部分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1.一般公共服务支出（类）981.03万元，占67.82%。</w:t>
      </w:r>
    </w:p>
    <w:p>
      <w:pPr>
        <w:spacing w:line="580" w:lineRule="exact"/>
        <w:ind w:firstLine="640"/>
        <w:jc w:val="both"/>
      </w:pPr>
      <w:r>
        <w:rPr>
          <w:rFonts w:ascii="仿宋_GB2312" w:hAnsi="仿宋_GB2312" w:eastAsia="仿宋_GB2312"/>
          <w:b w:val="0"/>
          <w:sz w:val="32"/>
        </w:rPr>
        <w:t>2.文化旅游体育与传媒支出（类）342.57万元，占23.68%。</w:t>
      </w:r>
    </w:p>
    <w:p>
      <w:pPr>
        <w:spacing w:line="580" w:lineRule="exact"/>
        <w:ind w:firstLine="640"/>
        <w:jc w:val="both"/>
      </w:pPr>
      <w:r>
        <w:rPr>
          <w:rFonts w:ascii="仿宋_GB2312" w:hAnsi="仿宋_GB2312" w:eastAsia="仿宋_GB2312"/>
          <w:b w:val="0"/>
          <w:sz w:val="32"/>
        </w:rPr>
        <w:t>3.社会保障和就业支出（类）68.13万元，占4.71%。</w:t>
      </w:r>
    </w:p>
    <w:p>
      <w:pPr>
        <w:spacing w:line="580" w:lineRule="exact"/>
        <w:ind w:firstLine="640"/>
        <w:jc w:val="both"/>
      </w:pPr>
      <w:r>
        <w:rPr>
          <w:rFonts w:ascii="仿宋_GB2312" w:hAnsi="仿宋_GB2312" w:eastAsia="仿宋_GB2312"/>
          <w:b w:val="0"/>
          <w:sz w:val="32"/>
        </w:rPr>
        <w:t>4.卫生健康支出（类）28.42万元，占1.96%。</w:t>
      </w:r>
    </w:p>
    <w:p>
      <w:pPr>
        <w:spacing w:line="580" w:lineRule="exact"/>
        <w:ind w:firstLine="640"/>
        <w:jc w:val="both"/>
      </w:pPr>
      <w:r>
        <w:rPr>
          <w:rFonts w:ascii="仿宋_GB2312" w:hAnsi="仿宋_GB2312" w:eastAsia="仿宋_GB2312"/>
          <w:b w:val="0"/>
          <w:sz w:val="32"/>
        </w:rPr>
        <w:t>5.住房保障支出（类）26.32万元，占1.82%。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1.一般公共服务支出（类）宣传事务（款）行政运行（项）：支出决算数为621.62万元，比上年决算增加160.06万元，增长34.68%，主要原因是：本年在职人员工资调增，导致相关人员经费较上年有所增加。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2.一般公共服务支出（类）宣传事务（款）事业运行（项）：支出决算数为73.22万元，比上年决算增加12.88万元，增长21.35%，主要原因是：年在职人员工资调增，导致相关人员经费较上年有所增加。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宣传事务（款）其他宣传事务支出（项）：支出决算数为286.19万元，比上年决算增加15.80万元，增长5.84%，主要原因是：本年功能科目调整，本年度县级项目均在其他宣传事务支出科目列支，导致经费较上年增加。</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4.科学技术支出（类）科技条件与服务（款）其他科技条件与服务支出（项）：支出决算数为0.00万元，比上年决算减少5.40万元，下降100.00%，主要原因是：本年度无该项支出计划。</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337.57万元，比上年决算增加259.09万元，增长330.14%，主要原因是：本年功能科目调整，中央补助地方公共文化服务体系建设补助资金等项目由其他文化旅游体育与传媒支出科目调整至其他文化和旅游支出科目，导致经费较上年增加。</w:t>
      </w:r>
    </w:p>
    <w:p>
      <w:pPr>
        <w:spacing w:line="580" w:lineRule="exact"/>
        <w:ind w:firstLine="640"/>
        <w:jc w:val="both"/>
      </w:pPr>
      <w:r>
        <w:rPr>
          <w:rFonts w:ascii="仿宋_GB2312" w:hAnsi="仿宋_GB2312" w:eastAsia="仿宋_GB2312"/>
          <w:b w:val="0"/>
          <w:sz w:val="32"/>
        </w:rPr>
        <w:t>6.文化旅游体育与传媒支出（类）其他文化旅游体育与传媒支出（款）其他文化旅游体育与传媒支出（项）：支出决算数为5.00万元，比上年决算减少18.00万元，下降78.26%，主要原因是：本年功能科目调整，中央补助地方公共文化服务体系建设补助资金等项目由其他文化旅游体育与传媒支出科目调整至其他文化和旅游支出科目，导致经费较上年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5.06万元，比上年决算增加1.42万元，增长39.01%，主要原因是：（1）本年增加退休人员基础绩效奖，退休费支出增加。（2）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31.98万元，比上年决算增加2.24万元，增长7.53%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31.10万元，比上年决算增加14.58万元，增长88.26%，主要原因是：本年新增退休人员，职业年金缴费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10.卫生健康支出（类）行政事业单位医疗（款）行政单位医疗（项）：支出决算数为14.80万元，比上年决算增加0.05万元，增长0.34%，主要原因是：本年在职人员工资基数调增，医疗缴费基数上涨，相应支出增加。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11.卫生健康支出（类）行政事业单位医疗（款）事业单位医疗（项）：支出决算数为5.52万元，比上年决算增加3.53万元，增长177.39%，主要原因是：本年在职人员工资基数调增，医疗缴费基数上涨，相应支出增加。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8.09万元，比上年决算增加7.07万元，增长693.14%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13.住房保障支出（类）住房改革支出（款）住房公积金（项）：支出决算数为26.32万元，比上年决算减少1.13万元，下降4.12%，主要原因是：本年在职人员减少，住房公积金缴费较上年减少。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2025年度一般公共预算财政拨款基本支出832.71万元，其中：</w:t>
      </w:r>
      <w:r>
        <w:rPr>
          <w:rFonts w:ascii="仿宋_GB2312" w:hAnsi="仿宋_GB2312" w:eastAsia="仿宋_GB2312"/>
          <w:b/>
          <w:sz w:val="32"/>
        </w:rPr>
        <w:t>人员经费379.62万元，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公用经费453.09万元，</w:t>
      </w:r>
      <w:r>
        <w:rPr>
          <w:rFonts w:ascii="仿宋_GB2312" w:hAnsi="仿宋_GB2312" w:eastAsia="仿宋_GB2312"/>
          <w:b w:val="0"/>
          <w:sz w:val="32"/>
        </w:rPr>
        <w:t>包括：办公费、印刷费、水费、邮电费、差旅费、维修（护）费、专用材料费、委托业务费、工会经费、公务用车运行维护费、其他交通费用、其他商品和服务支出。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2025年度财政拨款“三公”经费支出4.00万元，</w:t>
      </w:r>
      <w:r>
        <w:rPr>
          <w:rFonts w:ascii="仿宋_GB2312" w:hAnsi="仿宋_GB2312" w:eastAsia="仿宋_GB2312"/>
          <w:b w:val="0"/>
          <w:sz w:val="32"/>
        </w:rPr>
        <w:t>比上年增加1.00万元，增长33.33%，主要原因是：本年因业务需求，用车次数增加，燃油费增加，导致公务用车运行维护费较上年增加。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公务用车购置及运行维护费支出4.00万元，占100.00%，比上年增加2.00万元，增长100.00%，主要原因是：本年因业务需求，用车次数增加，燃油费增加，导致公务用车运行维护费较上年增加。</w:t>
      </w:r>
      <w:r>
        <w:rPr>
          <w:rFonts w:ascii="仿宋_GB2312" w:hAnsi="仿宋_GB2312" w:eastAsia="仿宋_GB2312"/>
          <w:b w:val="0"/>
          <w:sz w:val="32"/>
        </w:rPr>
        <w:t>公务接待费支出0.00万元，占0.00%，比上年减少1.00万元，下降100.00%，主要原因是：本年严格执行中央八项规定，厉行节约，无公务接待费支出。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2辆。国有资产占用情况中固定资产车辆2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4.00万元，预决算差异率-33.33%，主要原因是：1.严格落实中央八项规定精神，厉行节约，减少经费支出。2.严格落实中央八项规定精神，厉行节约，减少公务用车使用频次，燃油费减少。3.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2.00万元，决算数0.00万元，预决算差异率-100.00%，主要原因是：本年严格执行中央八项规定，厉行节约，无公务接待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宣传部（行政单位和参照公务员法管理事业单位）机关运行经费支出453.09万元，比上年增加182.26万元，增长67.30%，主要原因是：1.本年更新、维护补充办公用品，导致机关运行经费较上年增加。2.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2025年度政府采购支出总额484.44万元，其中：政府采购货物支出1.61万元、政府采购工程支出0.00万元、政府采购服务支出482.82万元。</w:t>
      </w:r>
    </w:p>
    <w:p>
      <w:pPr>
        <w:spacing w:line="580" w:lineRule="exact"/>
        <w:ind w:firstLine="640"/>
        <w:jc w:val="both"/>
      </w:pPr>
      <w:r>
        <w:rPr>
          <w:rFonts w:ascii="仿宋_GB2312" w:hAnsi="仿宋_GB2312" w:eastAsia="仿宋_GB2312"/>
          <w:b w:val="0"/>
          <w:sz w:val="32"/>
        </w:rPr>
        <w:t>授予中小企业合同金额483.27万元，占政府采购支出总额的99.76%，其中：授予小微企业合同金额483.27万元，占政府采购支出总额的99.76%。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2辆，价值38.96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1,940.83万元，实际执行总额1,919.32万元；预算绩效评价项目8个，全年预算数874.17万元，全年执行数779.89万元。预算绩效管理取得的成效：一是绩效管理范围得到新拓展。将预算绩效目标管理范围从以前年度的本级预算项目支出，拓展到上级转移支付项目，实现部门预算收支全面纳入预算绩效管理。二是绩效目标审核打开新局面。积极借助预算绩效管理信息系统，将预算绩效目标审核流程化、规范化。三是聚焦花钱问效，全面强化部门评价。将所有项目支出和部门整体支出绩效目标完成情况自评，压实各部门预算绩效管理责任。发现的问题及原因：一是预算绩效管理观念淡薄。当前我国行政事业单位虽普遍一如预算绩效管理体系，但因缺乏管理观念，导致预算绩效普遍偏低。主要体现在单位没有专业的预算管理人员，而且管理机构过于简化使得预算管理效果不太明显。二是预算绩效管理执行力度不够。预算执行是预算管理的重中之重，而行政事业单位的预算管理最大的问题就是缺少预算执行刚性。三是预算绩效制缺少监督管理。行政事业单位调用预算资金开展项目是缺乏相关监督管理机制的约束，导致资金的使用效率偏低。下一步改进措施：一是提高对预算绩效管理的认识度。当前我国行政事业单位，必须提高对预算绩效管理的认识度，才能为人民群众做实事。首先改变传统观念的绩效管理认识度，领导要起带头作用，认真理解当前预算绩效管理的重要性，在工作中落实预算项目执行设置预算管理部门的专业管理人才，提高预算管理人员专业知识储备，加强职业道德，以此来规范他们的工作行为，为单位预算工作打好扎实的基础，确保预算工作能够实现财务目标。二是提高预算执行力度。完善预算执行责任制度，将年度预算支出责任授权到各个部门和工作人员完成，形成部门联动、齐抓共管、共同提高预算执行力度；严格监控预算资金的使用状况，确保预算项目的执行力度。严禁预算单位随意更改项目性质和项目投资方向，进一步完善预算资金管理信息系统，扩展预算监控反馈功能，使各级财政实现对预算支出进度的实时掌控，对反馈阻碍预算执行力度问题能够及时解决，保障了预算执行能够顺利完成。单位应在预算编制和执行的过程中，全面引入绩效管理概念，优化预算资金分配，增加绩效考核内容，将预算管理工作与各部门的考核奖惩相结合。三是健立预算机制管理的监督体系。预算绩效的监督包括支出行为的监督和支出结果的监督。行政事业单位要把建立预算绩效监督管理制度作为监督工作的重点，在实践中抓出成效。严格审核单位招标、采购等流程，对所涉及的工作人员，认真考核其工作行为和工作效率，确保每一笔预算资金支出行为合法性；在预算资金的使用过程中做到实时监控，确保资金的安全性；审核预算支出结果，严查不合法的资金支出，对支出结果做出规范性评价，对重大项目财政部门要亲自或委托评审机构做好监督和跟踪问效工作；定期采集预算资金的支出和使用详细报表，考核资金使用的合理性和单位执行情况，并列入年度考核。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中共吉木萨尔县委员会宣传部</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1,481.33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1,841.45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1,819.94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183.78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3,340.22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3,881.66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3,838.64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3,340.22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3,881.66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3,838.64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紧扣学习宣传贯彻党的二十大、二十届二中、三中全会精神，围绕中心、服务大局，履职尽责，做好理论思想武装、守好意识形态征地、壮大主流舆论引导、扎实推进文化润疆、弘扬社会主义核心价值观、打造北庭文化品牌、加强队伍培训等工作，使全县上下主旋律更加高昂、正能量日益充沛。推进媒体深度融合，围绕“新闻+”政务服务商务，开展示范性宣讲活动60场次，加大与5家媒体的合作，开设系列专栏，做好新闻宣传、舆论引导、媒体服务工作，计划开展各项文明活动4场次，开展大型文化活动4场次，开展北庭历史文化影响力活动2场次，开展意识形态工作培训1场次，开展宣传业务培训1场次。在全县精选点位，不间断开展慢直播活动，计划开展各类活动直播次数10场次，宣传推介吉木萨尔各景区景点、自然风光、人文民俗。</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1940.83万元，实际支出数1919.32万元，资金执行率98.89%，实际已完成开展示范性宣讲活动60场次，完成与7家媒体的合作，开展各项文明活动4场次，开展大型文化活动4场次，开展北庭历史文化影响力活动2场次，开展意识形态工作培训1场次，开展宣传业务培训1场次，开展各类活动直播次数10场次。</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开展示范性宣讲活动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加大合作媒体数量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开展各项文明活动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开展大型文化活动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北庭历史文化影响力活动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意识形态工作培训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各类活动直播次数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宣传业务培训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吉木萨尔县委宣传部2025年工作计划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2025年重点文化旅游活动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落实《2025年重点文化旅游活动计划》的2025年重点文化旅游活动项目，项目总投资为420万元，项目于2025年12月前完成。通过本项目的实施，全面展示吉木萨尔县文化旅游发展成果，重点围绕文化旅游项目，促进文化旅游经济繁荣发展，破圈提升“大唐都护府。丝路新北庭”文旅品牌影响力，开展宣传部本级活动春晚、社火、“诗画乡村”美术作品展、2025年书法摄影联展展览、“新歌唱北庭”、中国作协来吉县开展改稿活动、鼓浪屿诗歌朗诵活动、“名家读北庭”活动等及全县其他单位文旅活动支出等的顺利开展，待项目实施完成，争取使参与活动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328.65万元，资金执行率为78.25%，本项目实际已完成开展9次文化活动，其中完成春晚、社火、诗画乡村美术作品展览、2025年书法摄影联展展览、新歌唱北庭、中国作协来我县改稿、鼓浪屿诗歌节、名家读北庭等重点文化活动，促进全县各单位举办完成文化旅游活动，通过实本项目，加强文旅游交流交融，提升了北庭文化影响力和传播力，促进群众精神文化生活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全年开展文化活动次数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各类文化活动举办完成率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春晚活动成本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社火活动成本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“诗画乡村”美术作品展展览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2025年书法摄影联展展览成本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“新歌唱北庭”成本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中国作协来吉县开展改稿活动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鼓浪屿诗歌朗诵活动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“名家读北庭”活动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其他活动支出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其他单位文旅活动成本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&lt;=171.71万元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53.20%，偏差原因为：部分单位年初预算时对项目全年规划及具体支付情况调查不够充分，导致活动举办情况及资金支付情况不理想，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丰富广大人民群众精神生活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部分单位年初预算时对项目全年规划及具体支付情况调查不够充分，导致活动举办情况及资金支付情况不理想，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提升北庭文化影响力和传播力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部分单位年初预算时对项目全年规划及具体支付情况调查不够充分，导致活动举办情况及资金支付情况不理想，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89.56分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关于支持吉木萨尔县“张进元戏剧工作室”暨“石榴籽乐队”活动经费的报告</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张进元戏曲工作室”暨“石榴籽乐队”活动经费项目，项目总投资为3万元，项目于2025年12月前完成。通过本项目的实施，更好的服务全县广大群众，有力推进文化润疆和北庭文化传承工作，开展文化演出活动80场次，参与活动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3万元，资金执行率为100%，本项目实际已完成全年开展次文化活动80场次、购买文艺演出设备（服装）32件，通过实本项目，加强戏曲文化面向群众宣传展示，提升了戏曲文化在本县的影响力，促进戏曲文化传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完成文化演出场次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为：年初预算时对项目全年规划及具体支付情况调查不够充分，导致设置指标目标值较低，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购买文艺演出设备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-1500%，偏差原因为：年初预算时对项目全年规划及具体支付情况调查不够充分，导致设置指标目标值较低，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演出活动完成率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演出活动及时率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其他支出成本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提升社会文化氛围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有效推进文化传承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化解工信台账外企业账款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化解化解县委宣传部党员干部学习教育基地装饰工程项目债务，项目总投资21.41万元，项目计划于2025年12月前完成。通过本项目的实施，完成党员干部学习教育基地装饰工程债务化解工作的顺利开展，待项目实施完成，争取使受益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21.41万元，资金执行率为100%，本项目实际完成党员干部学习教育基地装饰工程前期所欠货款及监理费；通过本项目实施，加强债务风险防控能力，提升单位运行效率，促进县域经济平稳健康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化解债务受益企业数量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化债任务完成率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支付工程尾款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完成化解债务工作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有效化解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宣传部  关于拨付县委宣传部“十五五”规划课题研究资金的请示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落实《关于开展吉木萨尔县“十五五”规划课题研究的分工方案》（吉县政办【2024】年34号）相关要求，项目总投资5万元，项目于2025年12月前完成。通过本项目的实施，完成《北庭古城在推进文化润疆中的重要作用研究》课题研究1项、百分百通过课题验收、按时完成课题交稿、项目负责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5万元，预算执行率为100%，实际已完成《北庭古城在推进文化润疆中的重要作用研究》课题研究1项，通过实本项目，加强了北庭故城在文化润疆中重要作用的挖掘研究，提升了北庭文化品牌，促进吉木萨尔县知名度、美誉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课题研究项目数量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研究课题验收通过率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课题研究前期成本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课题后续成本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有效落实“十五五”规划课题研究的要求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有效落实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意识形态工作经费、中心组学习经费、社会科学界联合会科普活动经费档案数字化加工设备购置费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意识形态工作经费、中心组学习经费、社会科学界联合会科普活动经费档案数字化加工设备购置费项目，项目总投资为25万元，项目计划于2025年12月前完成。通过本项目的实施，深入理论武装和群众宣教工作、开展习近平新时代中国特色社会主义思想进万家、重大主题巡回示范宣讲60场次、落实文化市场监督管理，弘扬社会主义核心价值观、深入开展新时代文明实践活动不少于4场次，开展理论学习中心组学习研讨1场次，开展社科理论阐释、培育社会科学普及品牌、社科基地建设以及各类社会科学普及活动1场次，购置档案数字化设施设备，完成2018-2024年宣传部档案立卷数字化加工工作，并保障后续逐年完成档案立卷数字化加工工作等的顺利开展，待项目实施完成，争取使参与活动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24.21万元，资金执行率为96.84%，本项目实际已完成重大主题巡回示范宣讲60场次开展新时代文明实践活动4场次、开展理论学习中心组专家讲座1场次、中心组秘书培训班1场次、意识形态工作培训1场次、完成购置档案数字化设施设备购置及2018-2024年档案立卷数字化加工工作，通过实施本项目，加强全县宣传思想暨意识形态各项工作有效落实，提升了群众文化思想认知，促进推动新时代文明实践，培育文明新风。</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开展巡回示范宣传数量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新时代文明实践活动数量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中心组开展专家专题讲座数量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中心组秘书培训班数量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意识形态工作培训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各类宣传活动按时完成率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意识形态及中心组各类活动成本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此项指标未完成，存在偏差，偏差率为0.11%，偏差原因为：年初预算时对项目全年规划及具体支付情况调查不够充分，下一年度改进措施：结合全年项目执行方案，加强项目前期调研，提高指标设置准确程度。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新时代文明实践各类活动成本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档案工作成本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全县宣传思想暨意识形态各项工作有效落实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推动新时代文明实践，培育文明新风，提升群众文化思想认知。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99.19分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昌州财教[2025]4号关于下达2025年中央补助地方公共文化服务体系建设补助资金预算的通知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度中央补助地方公共文化服务体系建设项目，项目总投资为184.76万元，项目计划于2025年12月前完成。通过本项目的实施，促进基本公共文化服务标准化、均等化，使覆盖城乡、惠及全民的公共文化服务体系发挥重要作用，具体开展基层行政村文化补助、文明实践群众文化活动、智慧书屋运营和全民阅读团队活动及社区书屋图书增补、基层群众文艺团队奖励补、非遗传承活动补助、“北庭边塞诗会”诵读活动补助等活动，待项目实施完成，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184.76万元，资金执行率为100%，本项目实际已完成9个行政村文化运维经费发放、全年公益电影放映684场次、完成北庭边塞诗会诵读活动、16个社区图书增补及其他各类群众文化及新时代文明实践活动，通过实本项目，加强了地方公共文化服务体系建设，提升了丰富群众精神文化生活，促进基层公共文化服务水平提高的作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行政村文化运维经费数量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农村公益电影放映补助数量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&gt;=684场次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684场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“北庭边塞诗会”诵读活动补助数量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社区书屋图书增补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活动举办成功率（%）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活动完成期限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农村公益电影成本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“北庭边塞诗会”诵读活动补助成本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16个社区（含五彩湾镇5个社区）书屋图书增补成本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行政村文化运维经费补助成本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其他活动总成本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丰富群众精神文化生活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提高基层公共文化服务水平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自治区成立70周年氛围营造项目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自治区成立70周年氛围项目，项目总投资为150万元，项目计划于2025年12月前完成。通过本项目的实施，计划在国道等外围道路宣传版面10处、在县城内部道路等公共场所宣传20处，同时全景式、立体化描绘我县县域经济、社会发展的辉煌成果，教育引导各族干部群众更加紧密地团结在以习近平同志为核心的党中央周围，听党话、感党恩、跟党走，奋进新征程，建工新时代，待项目实施完成，争取使受益群众满意度不低于90%。
落实自治区成立70周年氛围营造，更新高速公路高立柱、服务区对外宣传内容，县域内对外宣传标识标牌、城市景观小品、宣传栏等。</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2024年12月31日，本项目实际支出148.5万元，预算执行率为99%，实际已完成开展新华访谈1期并在新华社所示新媒体平台传播、在新华社重点报刊传播推广宣传吉木萨尔县、新华网客户端新疆频道和新华网新疆频道及新华社重点报刊旗下新媒体宣传推广吉木萨尔县、拍摄宣传片1部，通过实本项目，达到有效提高吉木萨尔县知名度、美誉度的社会效益，受益群众满意度达到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国道等外围道路宣传版面数量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县城内部道路等公共场所宣传数量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各宣传版面宣传任务完成及时率（%）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县城内部道路等公共场所宣传成本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此项指标未完成，存在偏差，偏差率为1.67%，偏差原因为：年初预算时对项目全年规划及具体支付情况调查不够充分，下一年度改进措施：结合全年项目执行方案，加强项目前期调研，提高指标设置准确程度。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国道等外围道路宣传版面成本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提升庆祝氛围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提升本县知名度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金山WPS软件场地授权使用许可经费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与新疆互联通信息技术有限公司签订2024-2027年的《金山软件授权证书》，即金山WPS软件场地授权使用许可经费项目，项目总投资为65万元，项目计划于2025年12月前完成。通过本项目的实施，确保全县54家单位在2024-2027年使用金山软件正版，进一步巩固吉木萨尔县软件正版化工作成果，确保全县各单位软件正版化工作有序开展，保障全县各单位正版化软件正常运行，待项目实施完成，争取使受益单位工作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64.36万元，资金执行率为99.02%，本项目实际已完成全县54家单位2024-2027年正版金山软件使用，通过实本项目，加强全县各单位软件正版化使用率，提升了落实网络强国建设工作成效，促进吉木萨尔县软件正版化工作成果进一步巩固，防止侵权盗版问题发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购买软件数量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软件正版化覆盖率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每年运营成本费用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21.67万元/年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此项项指标未完成，存在偏差，偏差率为1.02%，偏差原因为：年初预算时对项目规划及具体支付情况调查不够充分，下一年度改进措施：结合全年项目执行方案，加强项目前期调研，提高指标设置准确程度。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落实网络强国建设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防止侵权盗版问题发生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有效遏制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有效遏制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