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62B9"/>
    <w:p w14:paraId="5D20DB6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3ABBB13">
      <w:pPr>
        <w:spacing w:line="540" w:lineRule="exact"/>
        <w:jc w:val="center"/>
        <w:rPr>
          <w:rFonts w:ascii="华文中宋" w:hAnsi="华文中宋" w:eastAsia="华文中宋" w:cs="宋体"/>
          <w:b/>
          <w:kern w:val="0"/>
          <w:sz w:val="52"/>
          <w:szCs w:val="52"/>
        </w:rPr>
      </w:pPr>
    </w:p>
    <w:p w14:paraId="7213E38F">
      <w:pPr>
        <w:spacing w:line="540" w:lineRule="exact"/>
        <w:jc w:val="center"/>
        <w:rPr>
          <w:rFonts w:ascii="华文中宋" w:hAnsi="华文中宋" w:eastAsia="华文中宋" w:cs="宋体"/>
          <w:b/>
          <w:kern w:val="0"/>
          <w:sz w:val="52"/>
          <w:szCs w:val="52"/>
        </w:rPr>
      </w:pPr>
    </w:p>
    <w:p w14:paraId="3520D50E">
      <w:pPr>
        <w:spacing w:line="540" w:lineRule="exact"/>
        <w:jc w:val="center"/>
        <w:rPr>
          <w:rFonts w:ascii="华文中宋" w:hAnsi="华文中宋" w:eastAsia="华文中宋" w:cs="宋体"/>
          <w:b/>
          <w:kern w:val="0"/>
          <w:sz w:val="52"/>
          <w:szCs w:val="52"/>
        </w:rPr>
      </w:pPr>
    </w:p>
    <w:p w14:paraId="637A70AB">
      <w:pPr>
        <w:spacing w:line="540" w:lineRule="exact"/>
        <w:jc w:val="center"/>
        <w:rPr>
          <w:rFonts w:ascii="华文中宋" w:hAnsi="华文中宋" w:eastAsia="华文中宋" w:cs="宋体"/>
          <w:b/>
          <w:kern w:val="0"/>
          <w:sz w:val="52"/>
          <w:szCs w:val="52"/>
        </w:rPr>
      </w:pPr>
    </w:p>
    <w:p w14:paraId="292D20CC">
      <w:pPr>
        <w:spacing w:line="540" w:lineRule="exact"/>
        <w:jc w:val="center"/>
        <w:rPr>
          <w:rFonts w:ascii="华文中宋" w:hAnsi="华文中宋" w:eastAsia="华文中宋" w:cs="宋体"/>
          <w:b/>
          <w:kern w:val="0"/>
          <w:sz w:val="52"/>
          <w:szCs w:val="52"/>
        </w:rPr>
      </w:pPr>
    </w:p>
    <w:p w14:paraId="19C0C721">
      <w:pPr>
        <w:spacing w:line="540" w:lineRule="exact"/>
        <w:jc w:val="center"/>
        <w:rPr>
          <w:rFonts w:ascii="华文中宋" w:hAnsi="华文中宋" w:eastAsia="华文中宋" w:cs="宋体"/>
          <w:b/>
          <w:kern w:val="0"/>
          <w:sz w:val="52"/>
          <w:szCs w:val="52"/>
        </w:rPr>
      </w:pPr>
    </w:p>
    <w:p w14:paraId="57D1F58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8B00A4A">
      <w:pPr>
        <w:spacing w:line="540" w:lineRule="exact"/>
        <w:jc w:val="center"/>
        <w:rPr>
          <w:rFonts w:ascii="华文中宋" w:hAnsi="华文中宋" w:eastAsia="华文中宋" w:cs="宋体"/>
          <w:b/>
          <w:kern w:val="0"/>
          <w:sz w:val="52"/>
          <w:szCs w:val="52"/>
        </w:rPr>
      </w:pPr>
    </w:p>
    <w:p w14:paraId="1A11031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BCB1B9C">
      <w:pPr>
        <w:spacing w:line="540" w:lineRule="exact"/>
        <w:jc w:val="center"/>
        <w:rPr>
          <w:rFonts w:hAnsi="宋体" w:eastAsia="仿宋_GB2312" w:cs="宋体"/>
          <w:kern w:val="0"/>
          <w:sz w:val="30"/>
          <w:szCs w:val="30"/>
        </w:rPr>
      </w:pPr>
    </w:p>
    <w:p w14:paraId="72CB2468">
      <w:pPr>
        <w:spacing w:line="540" w:lineRule="exact"/>
        <w:jc w:val="center"/>
        <w:rPr>
          <w:rFonts w:hAnsi="宋体" w:eastAsia="仿宋_GB2312" w:cs="宋体"/>
          <w:kern w:val="0"/>
          <w:sz w:val="30"/>
          <w:szCs w:val="30"/>
        </w:rPr>
      </w:pPr>
    </w:p>
    <w:p w14:paraId="2BDF1CD6">
      <w:pPr>
        <w:spacing w:line="540" w:lineRule="exact"/>
        <w:jc w:val="center"/>
        <w:rPr>
          <w:rFonts w:hAnsi="宋体" w:eastAsia="仿宋_GB2312" w:cs="宋体"/>
          <w:kern w:val="0"/>
          <w:sz w:val="30"/>
          <w:szCs w:val="30"/>
        </w:rPr>
      </w:pPr>
    </w:p>
    <w:p w14:paraId="48306306">
      <w:pPr>
        <w:spacing w:line="540" w:lineRule="exact"/>
        <w:jc w:val="center"/>
        <w:rPr>
          <w:rFonts w:hAnsi="宋体" w:eastAsia="仿宋_GB2312" w:cs="宋体"/>
          <w:kern w:val="0"/>
          <w:sz w:val="30"/>
          <w:szCs w:val="30"/>
        </w:rPr>
      </w:pPr>
    </w:p>
    <w:p w14:paraId="4B0A8D3E">
      <w:pPr>
        <w:spacing w:line="540" w:lineRule="exact"/>
        <w:jc w:val="center"/>
        <w:rPr>
          <w:rFonts w:hAnsi="宋体" w:eastAsia="仿宋_GB2312" w:cs="宋体"/>
          <w:kern w:val="0"/>
          <w:sz w:val="30"/>
          <w:szCs w:val="30"/>
        </w:rPr>
      </w:pPr>
    </w:p>
    <w:p w14:paraId="5024E468">
      <w:pPr>
        <w:spacing w:line="540" w:lineRule="exact"/>
        <w:jc w:val="center"/>
        <w:rPr>
          <w:rFonts w:hAnsi="宋体" w:eastAsia="仿宋_GB2312" w:cs="宋体"/>
          <w:kern w:val="0"/>
          <w:sz w:val="30"/>
          <w:szCs w:val="30"/>
        </w:rPr>
      </w:pPr>
    </w:p>
    <w:p w14:paraId="08DDD8BC">
      <w:pPr>
        <w:spacing w:line="540" w:lineRule="exact"/>
        <w:rPr>
          <w:rFonts w:hAnsi="宋体" w:eastAsia="仿宋_GB2312" w:cs="宋体"/>
          <w:kern w:val="0"/>
          <w:sz w:val="30"/>
          <w:szCs w:val="30"/>
        </w:rPr>
      </w:pPr>
    </w:p>
    <w:p w14:paraId="18285BB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8D9570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与新华社合作第二笔经费的请示</w:t>
      </w:r>
    </w:p>
    <w:p w14:paraId="50EC0E8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w:t>
      </w:r>
      <w:r>
        <w:rPr>
          <w:rStyle w:val="19"/>
          <w:rFonts w:hint="eastAsia" w:ascii="楷体" w:hAnsi="楷体" w:eastAsia="楷体"/>
          <w:spacing w:val="-4"/>
          <w:sz w:val="28"/>
          <w:szCs w:val="28"/>
          <w:lang w:eastAsia="zh-CN"/>
        </w:rPr>
        <w:t>县委宣传部</w:t>
      </w:r>
      <w:r>
        <w:rPr>
          <w:rStyle w:val="19"/>
          <w:rFonts w:hint="eastAsia" w:ascii="楷体" w:hAnsi="楷体" w:eastAsia="楷体"/>
          <w:spacing w:val="-4"/>
          <w:sz w:val="28"/>
          <w:szCs w:val="28"/>
        </w:rPr>
        <w:t>本级</w:t>
      </w:r>
    </w:p>
    <w:p w14:paraId="4A18C2E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w:t>
      </w:r>
      <w:r>
        <w:rPr>
          <w:rStyle w:val="19"/>
          <w:rFonts w:hint="eastAsia" w:ascii="楷体" w:hAnsi="楷体" w:eastAsia="楷体"/>
          <w:spacing w:val="-4"/>
          <w:sz w:val="28"/>
          <w:szCs w:val="28"/>
          <w:lang w:eastAsia="zh-CN"/>
        </w:rPr>
        <w:t>县委宣传部</w:t>
      </w:r>
      <w:bookmarkStart w:id="0" w:name="_GoBack"/>
      <w:bookmarkEnd w:id="0"/>
      <w:r>
        <w:rPr>
          <w:rStyle w:val="19"/>
          <w:rFonts w:hint="eastAsia" w:ascii="楷体" w:hAnsi="楷体" w:eastAsia="楷体"/>
          <w:spacing w:val="-4"/>
          <w:sz w:val="28"/>
          <w:szCs w:val="28"/>
        </w:rPr>
        <w:t>本级</w:t>
      </w:r>
    </w:p>
    <w:p w14:paraId="0A75814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马玉</w:t>
      </w:r>
    </w:p>
    <w:p w14:paraId="13B8CF29">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2025年04月28日</w:t>
      </w:r>
    </w:p>
    <w:p w14:paraId="7388CAB7">
      <w:pPr>
        <w:spacing w:line="700" w:lineRule="exact"/>
        <w:ind w:firstLine="708" w:firstLineChars="236"/>
        <w:jc w:val="left"/>
        <w:rPr>
          <w:rFonts w:hAnsi="宋体" w:eastAsia="仿宋_GB2312" w:cs="宋体"/>
          <w:kern w:val="0"/>
          <w:sz w:val="30"/>
          <w:szCs w:val="30"/>
        </w:rPr>
      </w:pPr>
    </w:p>
    <w:p w14:paraId="40D72F16">
      <w:pPr>
        <w:spacing w:line="540" w:lineRule="exact"/>
        <w:rPr>
          <w:rStyle w:val="19"/>
          <w:rFonts w:ascii="黑体" w:hAnsi="黑体" w:eastAsia="黑体"/>
          <w:b w:val="0"/>
          <w:spacing w:val="-4"/>
          <w:sz w:val="32"/>
          <w:szCs w:val="32"/>
        </w:rPr>
      </w:pPr>
    </w:p>
    <w:p w14:paraId="66FFA3C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422309B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432FA84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现在存在对外宣传没有较知名平台进行宣传推广的现状，根据2024年吉木萨尔县人民政府工作报告“坚持宣传推介，提升影响力”和“提升北庭知名度和美誉度”的宣传要求，结合吉木萨尔县委宣传部2024年媒体宣传需要，2023年底吉木萨尔县委经过部务会集体研究决策，解决提高吉木萨尔县对外宣传展示的水平问题，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（1）项目名称：与新华社合作第二笔经费的请示项目（以下简称“该项目”或“项目”）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与新华社签订综合服务协议，新华社按照综合服务协议，发挥所属媒体平台及资源优势，结合吉木萨尔重要活动、重大事件、重点成果以及地域特色，立体式、全方位宣传展示吉木萨尔，完成策划创作宣传片1部，开展专题调研2次，开展新华访谈1期，在重点报刊传播推广吉木萨尔3次，刊发吉木萨尔新闻消息24条以上，达到对外展示吉木萨尔县经济社会高质量发展以及人民安居乐业的美好画面,提升吉木萨尔的知名度和美誉度的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实施主体：中共吉木萨尔县委员会宣传部。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根据合同要求，新华社发挥所属媒体平台及资源优势，结合吉木萨尔重要活动、重大事件、重点成果以及地域特色，立体式、全方位宣传展示吉木萨尔，目前已完成策划创作宣传片1部，开展专题调研2次，开展新华访谈1期，在重点报刊传播推广吉木萨尔3次，刊发吉木萨尔新闻消息累计24条以上，达成了对外展示吉木萨尔县经济社会高质量发展以及人民安居乐业的美好画面,提升吉木萨尔的知名度和美誉度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吉木萨尔县委员会宣传部贯彻落实党中央关于宣传思想工作方针政策和决策部署以及县、自治州及县党委工作要求，在履行职责过程中坚持好加强党对宣传工作的集中统一领导。（一）拟订宣传思想文化工作重大方针政策和事业发展总体规划，按照县党委统一部署，协调宣传思想文化系统各部门之间的工作。（二）统筹协调党的意识形态工作，贯彻落实县党党委关于意识形态工作决策部署，组织协调意识形态工作责任制落实和日常监督检查，结合巡视巡察工作开展专项检查。（三）统筹指导协调全县理论研究、理论学习、理论宣传工作，组织推动理论武装工作。（四）负责规划组织全县思想政治工作和群众性精神文明建设活动；与县人民武装部共同组织全县国防教育工作；配合县委组织部做好党员教育工作，会同有关部门研究和改进群众思想教育工作。（五）管理新闻出版行政事务，组织协调有关行政审批工作，统筹规划和指导协调新闻出版事业、产业发展，监督管理出版物内容和质量，监督管理印刷业，管理著作权，负责境外出版物来我县展览、展销等。负责县内新闻媒体的监督管理，负责新闻记者证的监督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中共吉木萨尔县委员会宣传部无下属预算单位，内设机构4个处室，分别是：理论科、新闻外宣科、精神文明科、办公室。党报党刊征订工作主要由新闻外宣科负责。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本项目预算安排总额为149.00万元，资金来源为本级部门预算，其中：财政资金149.00万元，其他资金0.00元，2024年实际收到预算资金149.00万元，预算资金到位率为100.00%。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截至2024年12月31日，本项目实际支付资金149.00万元，预算执行率100.00%。本项目资金主要用于支付纪录片费用80万元、外宣信息费用24万元、重点报刊推广费用15万元、专题调研费用15万、访谈费用15万元。</w:t>
      </w:r>
    </w:p>
    <w:p w14:paraId="5071EA4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2ABBF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计划开展新华访谈1期并在新华社所示新媒体平台传播、新华社重点报刊传播推广宣传吉木萨尔县、新华网客户端新疆频道和新华网新疆频道及新华社重点报刊旗下新媒体宣传推广吉木萨尔县、拍摄宣传片1部。通过项目的实施可有效提高吉木萨尔县知名度、美誉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“拍摄纪录片数量（部）”指标，预期指标值为“≥1部”；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“访谈数量（期）”指标，预期指标值为“≥1期”；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“外宣信息数（条）”指标，预期指标值为“≥24条”；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“重点报刊推广数（次）”指标，预期指标值为“≥3次”；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“专题调研数量（次）”指标，预期指标值为“≥2次”；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“按合同约定任务完成率（%）”指标，预期指标值为“=100%”；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“按合同约定支付及时率（%）”指标，预期指标值为“=100%”；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“支付合同金额的50%”指标，预期指标值为“≤149万元”；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“有效提高吉木萨尔县知名度、美誉度”指标，预期指标值为“有效提高”；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“增加群众幸福感”指标，预期指标值为“有效增加”；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“受益群众满意度（%）”指标，预期指标值为“≥90%”。</w:t>
      </w:r>
    </w:p>
    <w:p w14:paraId="3195135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3C369D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DE59F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与新华社合作第二笔经费的请示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此次我单位根据《财政支出绩效评价管理暂行办法》（财预〔2020〕10号）文件要求实施评价工作，本次评价对象为与新华社合作第二笔经费的请示项目，评价核心为项目资金、项目产出、项目效益。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22B6F33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D87F42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3A930BF">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1B5C51D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马玉（评价小组组长）：主要负责项目策划和监督，全面负责项目绩效评价报告的最终质量，对评价人员出具的最终报告质量进行复核，确保评估结果的客观性；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王坤（评价小组组员）：主要负责资料的收集，取证、数据统计分析；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冯莉娜（评价小组组员）：主要负责项目报告的制定，指标的研判，数据分析及报告撰写。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72F34C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8F6B43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项目的实施，完成了策划创作宣传片1部，开展专题调研2次，开展新华访谈1期，在重点报刊传播推广吉木萨尔3次，刊发吉木萨尔新闻消息24条以上，发挥了新华网平台资源优势，结合吉木萨尔重要活动、重大事件、重点成果以及地域特色，立体式、全方位宣传展示吉木萨尔，对外展示吉木萨尔县经济社会高质量发展以及人民安居乐业的美好画面,提升吉木萨尔的知名度和美誉度的社会效益效益。但在实施过程中也存在一些不足：如业务科室对该项目实施整体把控方面还有不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8个，满分指标8个，得分率100.00%；项目效益类指标共设置2个，满分指标2个，得分率100.00%；项目满意度类指标共设置1个，满分指标1个，得分率100.00%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5D5FDB4F">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14D33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C3DF075">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项目决策类指标由3个二级指标和6个三级指标构成，权重分21.00分，实际得分100.00分。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吉木萨尔县人民政府颁发的《2024年吉木萨尔县人民政府工作报告》中：“坚持宣传推介，提升影响力”“提升北庭知名度和美誉度”；本项目立项符合《吉木萨尔县2024年宣传思想文化工作总结》中：“引导各级各类媒体同向发力，共同营造良好舆论氛围”内容，符合行业发展规划和政策要求；本项目立项符合《中共吉木萨尔县委员会配置内设机构和人员编制规定》中职责范围中的“统筹规划和指导协调新闻出版事业”，属于我单位履职所需；根据《财政资金直接支付申请书》，本项目资金性质为“公共财政预算”功能分类为“2013399其他宣传事务支出”经济分类为“30299其他商品和服务支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宣传部专项资金管理办法》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开展新华访谈1期并在新华社所示新媒体平台传播、新华社重点报刊传播推广宣传吉木萨尔县、新华网客户端新疆频道和新华网新疆频道及新华社重点报刊旗下新媒体宣传推广吉木萨尔县、拍摄宣传片1部。按照合同约定支付50%费用，有效提高吉木萨尔县知名度、美誉度，争取使受益群众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本项目完成新华访谈期并在新华社所示新媒体平台传播、新华社重点报刊传播推广宣传吉木萨尔县、新华网客户端新疆频道和新华网新疆频道及新华社重点报刊旗下新媒体宣传推广吉木萨尔县、拍摄宣传片。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策划创作宣传片1部，开展专题调研2次，开展新华访谈1期，在重点报刊传播推广吉木萨尔3次，刊发吉木萨尔新闻消息24条以上，达到有效提高吉木萨尔县知名度、美誉度，使受益群众满意度不低于90%的社会效益，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④该项目批复的预算金额为149.00万元，《项目支出绩效目标表》中预算金额为149.00万元，预算确定的项目资金与预算确定的项目投资额相匹配。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拍摄纪录片”“访谈”“外宣信息数”“重点报刊推广数”“专题调研数量”，三级指标的年度指标值与年度绩效目标中任务数一致，已设置时效指标“按合同约定支付及时率”。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本项目预算编制通过以往年度的实际执行情况，综合考虑本年度情况，综合编制预算，即预算编制较科学且经过论证；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与新华社合作第二笔经费的请示，项目实际内容为新华社按照综合服务协议，发挥所属媒体平台及资源优势，结合吉木萨尔重要活动、重大事件、重点成果以及地域特色，立体式、全方位宣传展示吉木萨尔，完成策划创作宣传片1部，开展专题调研2次，开展新华访谈1期，在重点报刊传播推广吉木萨尔3次，刊发吉木萨尔新闻消息24条以上，达到对外展示吉木萨尔县经济社会高质量发展以及人民安居乐业的美好画面,提升吉木萨尔的知名度和美誉度的效果，预算申请与《与新华社合作第二笔经费的请示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149.00万元，我单位在预算申请中严格按照项目实施内容及测算标准进行核算，其中：纪录片费用80万元、外宣信息费用24万元、重点报刊推广费用15万元、专题调研费用15万、访谈费用15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与新华社合作第二笔经费的请示项目资金的请示》和《与新华社合作第二笔经费的请示项目合同》为依据进行资金分配，预算资金分配依据充分。根据《关于申请与新华社合作第二笔经费的请示》（吉木萨尔县〔2024〕10-30号），本项目实际到位资金149.00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65D6BF1F">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4338FA4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149.00万元，其中：财政安排资金149.00万元，其他资金0.00万元，实际到位资金149.00万元，资金到位率=（实际到位资金/预算资金）×100.00%=（149.00/149.00）×100.00%=100.00%。得分=（实际执行率-60.00%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本项目实际支出资金149.00万元，预算执行率=（实际支出资金/实际到位资金）×100.00%=（149.00/149.00）×100.00%=100.00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县委宣传部专项资金管理办法》《县委宣传部财务收支管理内部控制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县委宣传部专项资金管理办法》《县委宣传部财务收支管理内部控制制度》《县委宣传部政府采购业务管理制度》《县委宣传部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县委宣传部专项资金管理办法》《县委宣传部财务收支管理内部控制制度》《县委宣传部政府采购业务管理制度》《县委宣传部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与新华社合作第二笔经费的请示项目工作领导小组，由赵雪迎任组长，负责项目的组织工作；魏照春任副组长，负责项目的实施工作；组员包括：陈雪娇和刘志鑫，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2856BE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3374FA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项目产出类指标由4个二级指标和8个三级指标构成，权重分30.00分，实际得分30.00分。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“拍摄纪录片数量（部）”指标：预期指标值为“大于等于1部”，实际完成指标值为“1部”，指标完成率为100.00%。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综上所述，本指标满分为1.8分，根据评分标准得1.8分。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“访谈数量（期）”指标：预期指标值为“大于等于1期”，实际完成指标值为“1期”，指标完成率为100.00%。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综上所述，本指标满分为1.8分，根据评分标准得1.8分。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“外宣信息数（条）”指标：预期指标值为“大于等于24条”，实际完成指标值为“24条”，指标完成率为100.00%。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综上所述，本指标满分为1.8分，根据评分标准得1.8分。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“重点报刊推广数（次）”指标：预期指标值为“大于等于3次”，实际完成指标值为“3次”，指标完成率为100.00%。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综上所述，本指标满分为1.8分，根据评分标准得1.8分。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“专题调研数量（次）”指标：预期指标值为“大于等于2次”，实际完成指标值为“2次”，指标完成率为100.00%。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综上所述，本指标满分为1.8分，根据评分标准得1.8分。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“按合同约定任务完成率（%）”指标：预期指标值为“=100%”，实际完成指标值为“=100%”，指标完成率为100.00%。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“按合同约定支付及时率（%）”指标：预期指标值为“=100%”，实际完成指标值为“=100%”，指标完成率为100.00%。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“支付合同金额的50%（万元）”指标：预期指标值为“小于等于149万元”，实际完成指标值为“149万元”，指标完成率为100.00%。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944024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330F1A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项目效益类指标由1个二级指标和2个三级指标构成，权重分20.00分，实际得分20.00分。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“有效提高吉木萨尔县知名度、美誉度”指标：预期指标值为“有效提高”，实际完成指标值为“有效提高”，指标完成率为100.00%。达成有效提高吉木萨尔县知名度、美誉度的社会效益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“增加群众幸福感”指标：预期指标值为“有效增加”，实际完成指标值为“有效增加”，指标完成率为100.00%。达成有效增加群众幸福感的社会效益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1DC35EA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“受益群众满意度（%）”指标：预期指标值为“大于等于90%”，实际完成指标值为“90%”，指标完成率为100.00%。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0EE5DDBC">
      <w:pPr>
        <w:spacing w:line="540" w:lineRule="exact"/>
        <w:ind w:firstLine="567"/>
        <w:rPr>
          <w:rStyle w:val="19"/>
          <w:rFonts w:hint="eastAsia" w:ascii="楷体" w:hAnsi="楷体" w:eastAsia="楷体"/>
          <w:b w:val="0"/>
          <w:bCs w:val="0"/>
          <w:spacing w:val="-4"/>
          <w:sz w:val="32"/>
          <w:szCs w:val="32"/>
        </w:rPr>
      </w:pPr>
    </w:p>
    <w:p w14:paraId="71DCF691">
      <w:pPr>
        <w:spacing w:line="540" w:lineRule="exact"/>
        <w:ind w:firstLine="567"/>
        <w:rPr>
          <w:rStyle w:val="19"/>
          <w:rFonts w:ascii="楷体" w:hAnsi="楷体" w:eastAsia="楷体"/>
          <w:spacing w:val="-4"/>
          <w:sz w:val="32"/>
          <w:szCs w:val="32"/>
        </w:rPr>
      </w:pPr>
    </w:p>
    <w:p w14:paraId="192444A7">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71FE3C67">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加强领导、全面动员。为开展项目绩效考核工作，本单位多次召开会议，不断健全管理制度、完善工作机制，落实目标责任、强调工作协调，对项目立项、项目管理、项目资金使用范围、项目资金审批流程、项目拨付流程均优详细可执行的步骤，为后期项目瞬间进行奠定了基础。二是制定标准，突显成绩。为了进一步激励项目负责人，对考核标准进行详细的研究后制定了绩效考核标准。三是规范程序科学赋分，严格按照工作年度总结和排名对项目进行绩效赋分。同时将绩效成绩作为科室成绩和个人年底评优参考。四是评定结合、以优促劣。对年底项目绩效考核成绩进行通报，对绩效考核为优秀的项目负责人进行表扬，对项目评分靠后的通知进行诫勉谈话，并提出不足和整改意见，以优秀促进劣项目不断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虽然该项目能顺利完成，还有不足之处，一是项目前期规划不足。项目实施之前未确定详细、合理的项目绩效目标，统筹引领整个项目的实施。二是利用新华社媒体平台外宣信息稿件数量还不够多，外宣稿件质量和关注点还有待提升。三是项目实施过程中，项目节点没有整体把控，影响整体项目进度。四是在管理制度方面,还需加大严格遵守和执行相关项目管理制度力度,明确分工和责任。</w:t>
      </w:r>
    </w:p>
    <w:p w14:paraId="159B42E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1A00B864">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加强项目负责人员项目绩效培训，提高项目负责人项目绩效意识。二是加大对外宣传力度，不断培育外宣稿件通讯员素质，逐步提高外宣稿件质量，同时加强新华社沟通，加大热点新闻稿件上稿力度。三是四是深入研究项目节点，加强及时沟通，提高整体把控力度和项目执行力度。第四加强单位制度管理和预算绩效工作指导，严格按照制度进行推进项目，明确分工落实到人，确保项目进度落实落地。</w:t>
      </w:r>
    </w:p>
    <w:p w14:paraId="3CFF0C7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0FD2EE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53F5AFE">
      <w:pPr>
        <w:spacing w:line="540" w:lineRule="exact"/>
        <w:ind w:firstLine="567"/>
        <w:rPr>
          <w:rStyle w:val="19"/>
          <w:rFonts w:ascii="仿宋" w:hAnsi="仿宋" w:eastAsia="仿宋"/>
          <w:b w:val="0"/>
          <w:spacing w:val="-4"/>
          <w:sz w:val="32"/>
          <w:szCs w:val="32"/>
        </w:rPr>
      </w:pPr>
    </w:p>
    <w:p w14:paraId="43C3E719">
      <w:pPr>
        <w:spacing w:line="540" w:lineRule="exact"/>
        <w:ind w:firstLine="567"/>
        <w:rPr>
          <w:rStyle w:val="19"/>
          <w:rFonts w:ascii="仿宋" w:hAnsi="仿宋" w:eastAsia="仿宋"/>
          <w:b w:val="0"/>
          <w:spacing w:val="-4"/>
          <w:sz w:val="32"/>
          <w:szCs w:val="32"/>
        </w:rPr>
      </w:pPr>
    </w:p>
    <w:p w14:paraId="36D97B88">
      <w:pPr>
        <w:spacing w:line="540" w:lineRule="exact"/>
        <w:ind w:firstLine="567"/>
        <w:rPr>
          <w:rStyle w:val="19"/>
          <w:rFonts w:ascii="仿宋" w:hAnsi="仿宋" w:eastAsia="仿宋"/>
          <w:b w:val="0"/>
          <w:spacing w:val="-4"/>
          <w:sz w:val="32"/>
          <w:szCs w:val="32"/>
        </w:rPr>
      </w:pPr>
    </w:p>
    <w:p w14:paraId="23AA9CDA">
      <w:pPr>
        <w:spacing w:line="540" w:lineRule="exact"/>
        <w:ind w:firstLine="567"/>
        <w:rPr>
          <w:rStyle w:val="19"/>
          <w:rFonts w:ascii="仿宋" w:hAnsi="仿宋" w:eastAsia="仿宋"/>
          <w:b w:val="0"/>
          <w:spacing w:val="-4"/>
          <w:sz w:val="32"/>
          <w:szCs w:val="32"/>
        </w:rPr>
      </w:pPr>
    </w:p>
    <w:p w14:paraId="63CE5928">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3AC77C">
        <w:pPr>
          <w:pStyle w:val="12"/>
          <w:jc w:val="center"/>
        </w:pPr>
        <w:r>
          <w:fldChar w:fldCharType="begin"/>
        </w:r>
        <w:r>
          <w:instrText xml:space="preserve">PAGE   \* MERGEFORMAT</w:instrText>
        </w:r>
        <w:r>
          <w:fldChar w:fldCharType="separate"/>
        </w:r>
        <w:r>
          <w:rPr>
            <w:lang w:val="zh-CN"/>
          </w:rPr>
          <w:t>2</w:t>
        </w:r>
        <w:r>
          <w:fldChar w:fldCharType="end"/>
        </w:r>
      </w:p>
    </w:sdtContent>
  </w:sdt>
  <w:p w14:paraId="4CC75F8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3B1E120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9aed852e-ce96-4197-954f-8f8936ba73dc}">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2026-08-20T04:48:45Z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