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4E6AA"/>
    <w:p w14:paraId="2E13ABC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E4866F3">
      <w:pPr>
        <w:spacing w:line="540" w:lineRule="exact"/>
        <w:jc w:val="center"/>
        <w:rPr>
          <w:rFonts w:ascii="华文中宋" w:hAnsi="华文中宋" w:eastAsia="华文中宋" w:cs="宋体"/>
          <w:b/>
          <w:kern w:val="0"/>
          <w:sz w:val="52"/>
          <w:szCs w:val="52"/>
        </w:rPr>
      </w:pPr>
    </w:p>
    <w:p w14:paraId="013C9BF8">
      <w:pPr>
        <w:spacing w:line="540" w:lineRule="exact"/>
        <w:jc w:val="center"/>
        <w:rPr>
          <w:rFonts w:ascii="华文中宋" w:hAnsi="华文中宋" w:eastAsia="华文中宋" w:cs="宋体"/>
          <w:b/>
          <w:kern w:val="0"/>
          <w:sz w:val="52"/>
          <w:szCs w:val="52"/>
        </w:rPr>
      </w:pPr>
    </w:p>
    <w:p w14:paraId="134B923D">
      <w:pPr>
        <w:spacing w:line="540" w:lineRule="exact"/>
        <w:jc w:val="center"/>
        <w:rPr>
          <w:rFonts w:ascii="华文中宋" w:hAnsi="华文中宋" w:eastAsia="华文中宋" w:cs="宋体"/>
          <w:b/>
          <w:kern w:val="0"/>
          <w:sz w:val="52"/>
          <w:szCs w:val="52"/>
        </w:rPr>
      </w:pPr>
    </w:p>
    <w:p w14:paraId="2B7A04D9">
      <w:pPr>
        <w:spacing w:line="540" w:lineRule="exact"/>
        <w:jc w:val="center"/>
        <w:rPr>
          <w:rFonts w:ascii="华文中宋" w:hAnsi="华文中宋" w:eastAsia="华文中宋" w:cs="宋体"/>
          <w:b/>
          <w:kern w:val="0"/>
          <w:sz w:val="52"/>
          <w:szCs w:val="52"/>
        </w:rPr>
      </w:pPr>
    </w:p>
    <w:p w14:paraId="46DEE37A">
      <w:pPr>
        <w:spacing w:line="540" w:lineRule="exact"/>
        <w:jc w:val="center"/>
        <w:rPr>
          <w:rFonts w:ascii="华文中宋" w:hAnsi="华文中宋" w:eastAsia="华文中宋" w:cs="宋体"/>
          <w:b/>
          <w:kern w:val="0"/>
          <w:sz w:val="52"/>
          <w:szCs w:val="52"/>
        </w:rPr>
      </w:pPr>
    </w:p>
    <w:p w14:paraId="0914E39F">
      <w:pPr>
        <w:spacing w:line="540" w:lineRule="exact"/>
        <w:jc w:val="center"/>
        <w:rPr>
          <w:rFonts w:ascii="华文中宋" w:hAnsi="华文中宋" w:eastAsia="华文中宋" w:cs="宋体"/>
          <w:b/>
          <w:kern w:val="0"/>
          <w:sz w:val="52"/>
          <w:szCs w:val="52"/>
        </w:rPr>
      </w:pPr>
    </w:p>
    <w:p w14:paraId="57F4859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01DBD24">
      <w:pPr>
        <w:spacing w:line="540" w:lineRule="exact"/>
        <w:jc w:val="center"/>
        <w:rPr>
          <w:rFonts w:ascii="华文中宋" w:hAnsi="华文中宋" w:eastAsia="华文中宋" w:cs="宋体"/>
          <w:b/>
          <w:kern w:val="0"/>
          <w:sz w:val="52"/>
          <w:szCs w:val="52"/>
        </w:rPr>
      </w:pPr>
    </w:p>
    <w:p w14:paraId="52C1216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7CC49739">
      <w:pPr>
        <w:spacing w:line="540" w:lineRule="exact"/>
        <w:jc w:val="center"/>
        <w:rPr>
          <w:rFonts w:hAnsi="宋体" w:eastAsia="仿宋_GB2312" w:cs="宋体"/>
          <w:kern w:val="0"/>
          <w:sz w:val="30"/>
          <w:szCs w:val="30"/>
        </w:rPr>
      </w:pPr>
    </w:p>
    <w:p w14:paraId="44F6AA24">
      <w:pPr>
        <w:spacing w:line="540" w:lineRule="exact"/>
        <w:jc w:val="center"/>
        <w:rPr>
          <w:rFonts w:hAnsi="宋体" w:eastAsia="仿宋_GB2312" w:cs="宋体"/>
          <w:kern w:val="0"/>
          <w:sz w:val="30"/>
          <w:szCs w:val="30"/>
        </w:rPr>
      </w:pPr>
    </w:p>
    <w:p w14:paraId="33359FA2">
      <w:pPr>
        <w:spacing w:line="540" w:lineRule="exact"/>
        <w:jc w:val="center"/>
        <w:rPr>
          <w:rFonts w:hAnsi="宋体" w:eastAsia="仿宋_GB2312" w:cs="宋体"/>
          <w:kern w:val="0"/>
          <w:sz w:val="30"/>
          <w:szCs w:val="30"/>
        </w:rPr>
      </w:pPr>
    </w:p>
    <w:p w14:paraId="25243007">
      <w:pPr>
        <w:spacing w:line="540" w:lineRule="exact"/>
        <w:jc w:val="center"/>
        <w:rPr>
          <w:rFonts w:hAnsi="宋体" w:eastAsia="仿宋_GB2312" w:cs="宋体"/>
          <w:kern w:val="0"/>
          <w:sz w:val="30"/>
          <w:szCs w:val="30"/>
        </w:rPr>
      </w:pPr>
    </w:p>
    <w:p w14:paraId="49F40A81">
      <w:pPr>
        <w:spacing w:line="540" w:lineRule="exact"/>
        <w:jc w:val="center"/>
        <w:rPr>
          <w:rFonts w:hAnsi="宋体" w:eastAsia="仿宋_GB2312" w:cs="宋体"/>
          <w:kern w:val="0"/>
          <w:sz w:val="30"/>
          <w:szCs w:val="30"/>
        </w:rPr>
      </w:pPr>
    </w:p>
    <w:p w14:paraId="267C200F">
      <w:pPr>
        <w:spacing w:line="540" w:lineRule="exact"/>
        <w:jc w:val="center"/>
        <w:rPr>
          <w:rFonts w:hAnsi="宋体" w:eastAsia="仿宋_GB2312" w:cs="宋体"/>
          <w:kern w:val="0"/>
          <w:sz w:val="30"/>
          <w:szCs w:val="30"/>
        </w:rPr>
      </w:pPr>
    </w:p>
    <w:p w14:paraId="5251C8D8">
      <w:pPr>
        <w:spacing w:line="540" w:lineRule="exact"/>
        <w:rPr>
          <w:rFonts w:hAnsi="宋体" w:eastAsia="仿宋_GB2312" w:cs="宋体"/>
          <w:kern w:val="0"/>
          <w:sz w:val="30"/>
          <w:szCs w:val="30"/>
        </w:rPr>
      </w:pPr>
    </w:p>
    <w:p w14:paraId="6EAC9C83">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CA3DF52">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新疆昌吉州吉木萨尔县大有灌区续建配套与节水改造项目</w:t>
      </w:r>
    </w:p>
    <w:p w14:paraId="189D7AAB">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吉木萨尔县水利局本级</w:t>
      </w:r>
    </w:p>
    <w:p w14:paraId="1C870018">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吉木萨尔县水利局本级</w:t>
      </w:r>
    </w:p>
    <w:p w14:paraId="577E9BA5">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徐冲宇</w:t>
      </w:r>
    </w:p>
    <w:p w14:paraId="4BA3E5CD">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2025年04月23日</w:t>
      </w:r>
    </w:p>
    <w:p w14:paraId="624880D0">
      <w:pPr>
        <w:spacing w:line="700" w:lineRule="exact"/>
        <w:ind w:firstLine="708" w:firstLineChars="236"/>
        <w:jc w:val="left"/>
        <w:rPr>
          <w:rFonts w:hAnsi="宋体" w:eastAsia="仿宋_GB2312" w:cs="宋体"/>
          <w:kern w:val="0"/>
          <w:sz w:val="30"/>
          <w:szCs w:val="30"/>
        </w:rPr>
      </w:pPr>
    </w:p>
    <w:p w14:paraId="627AF72A">
      <w:pPr>
        <w:spacing w:line="540" w:lineRule="exact"/>
        <w:rPr>
          <w:rStyle w:val="19"/>
          <w:rFonts w:ascii="黑体" w:hAnsi="黑体" w:eastAsia="黑体"/>
          <w:b w:val="0"/>
          <w:spacing w:val="-4"/>
          <w:sz w:val="32"/>
          <w:szCs w:val="32"/>
        </w:rPr>
      </w:pPr>
    </w:p>
    <w:p w14:paraId="7908F74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193E5552">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43C7B71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大有镇位于吉木萨尔县南部山区，西连新地乡，北接吉木萨尔县县城，南以博格达山分水岭同乌鲁木齐县为界，是一个以农为主、农牧结合的多民族聚居的山区乡镇。大有灌区灌溉水源为渭户沟河、东大龙口河及地下水，灌区有效灌溉面积4.48万亩。大有灌区内渠道经过多年运行，渠道渗漏破损严重，渠道水利用率低，建筑物不配套等问题日益凸显，造成了灌区引水困难、水资源浪费，且灌区内无调蓄性水源工程，因此急需新建灌区水源工程、对灌区内的引水工程、骨干渠道进行防渗改造、配套建筑物及量测水设施，保障灌区工程安全良性运行。同时中型灌区节水配套改造项目的建设实施，可以增强农田抗御水旱灾害的能力，改善当地的农业生产水利条件，为农业综合开发项目区提供骨干工程保障条件，提高受益区的农业综合生产能力。项目实施后，可改善灌溉面积4.48万亩，对加强农业基础设施和生态环境建设，提高农业综合效益，促进整个灌区经济发展，都具有重要意义。因此，建设新疆昌吉州吉木萨尔县大有灌区续建配套与节水改造项目是十分必要和紧迫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（1）项目名称：新疆昌吉州吉木萨尔县大有灌区续建配套与节水改造项目（以下简称“该项目”或“项目”）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（2）项目主要内容：新建输水管道3.75km，新建沉沙池1座。项目实施后可改善大有镇灌溉面积4.48万亩，对加强农业基础设施和生态环境建设，提高农业综合效益，促进整个灌区经济发展，都具有重要意义。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实施主体：吉木萨尔县水利管理站。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实施时间：本项目实施周期为2024年10月1日-2025年10月30日。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吉木萨尔县水利管理站委托新疆昌吉方汇水电设计有限公司编制完成可行性研究报告和初步设计，2024年1月3日，州水利局出具《关于对&lt;新疆昌吉州吉木萨尔县大有灌区续建配套与节水改造项目可行性研究报告&gt;的审查意见》，2024年1月5日，州发改委下发《关于新疆昌吉州吉木萨尔县大有灌区续建配套与节水改造项目可行性研究报告的批复》，2024年5月，州水利局对该项目进行技术审查并出具技术审查意见。2024年8月11日，由昌吉州发改委对《新疆昌吉州吉木萨尔县大有灌区续建配套与节水改造项目实施方案》下达批复。同时开展土地勘界、工程环境影响评价、林草等手续的办理。2024年9月24日，吉木萨尔县水利管理站完成招投标工作。该项目于2024年10月1日开工建设，计划于2025年10月30日完成建设任务。</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12月底，完成新建输水管道3.75km，新建沉沙池1座。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本项目预算安排总额为4470.15万元，资金来源为中央专项资金、地方政府专项，其中：中央财政资金4000万元，县财政资金470.15万元，2024年实际收到预算资金3105.89万元，预算资金到位率为69.48%。</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截至2024年12月31日，本项目实际支付资金3105.89万元，预算执行率100%。本项目资金主要用于支付支付工程款2602.02万元、支付监理费33.72万元、支付林地补偿费460.72万元、支付水土保持补偿费9.43万元。</w:t>
      </w:r>
    </w:p>
    <w:p w14:paraId="20390789">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2CE6FE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总体目标为2024年计划完成新建输水管道3.75km，新建沉砂池1座，保证已完工项目质量合格，项目按时开工。待项目实施后，提高地表水资源利用率，改善灌区灌溉面积，争取使受益群众及收款单位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“新建输水管道”指标，预期指标值为“大于等于3.75km”；</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“新建沉砂池”指标，预期指标值为“大于等于1座”；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“已完工工程质量合格率”指标，预期指标值为“等于100%”；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“工程开工及时率”指标，预期指标值为“等于100%”；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“支付工程款”指标，预期指标值为“小于等于2602.02万元”；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“支付监理费”指标，预期指标值为“小于等于33.72万元”；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“林地补偿费”指标，预期指标值为“小于等于460.72万元”；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“水土保持补偿费”指标，预期指标值为“小于等于9.43万元”；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“建设期无安全事故发生”指标，预期指标值为“等于0起”；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“建设期无环保处罚”指标，预期指标值为“等于0起”；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“收款单位满意度”指标，预期指标值为“大于等于90%”。</w:t>
      </w:r>
    </w:p>
    <w:p w14:paraId="1D635967">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B4949C8">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05606E8A">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新疆昌吉州吉木萨尔县大有灌区续建配套与节水改造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新疆昌吉州吉木萨尔县大有灌区续建配套与节水改造项目，评价核心为项目新建输水管道、新建沉沙池，产出指标、成本指标、效益指标和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5F85E081">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5000DDC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①定量指标分析环节：主要采用对比三级指标预期指标值和三级指标截止</w:t>
      </w:r>
      <w:bookmarkStart w:id="0" w:name="_GoBack"/>
      <w:bookmarkEnd w:id="0"/>
      <w:r>
        <w:rPr>
          <w:rStyle w:val="19"/>
          <w:rFonts w:hint="eastAsia" w:ascii="楷体" w:hAnsi="楷体" w:eastAsia="楷体"/>
          <w:b w:val="0"/>
          <w:bCs w:val="0"/>
          <w:spacing w:val="-4"/>
          <w:sz w:val="32"/>
          <w:szCs w:val="32"/>
        </w:rPr>
        <w:t>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87EFA0C">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3DCDD29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张川燕：主要负责项目策划和监督，全面负责项目绩效评价报告的最终质量，对评价人员出具的最终报告质量进行复核，确保评估结果的客观性；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陶  露：主要负责资料的收集，取证、数据统计分析；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何  娜：主要负责项目报告的制定，指标的研判，数据分析及报告撰写。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712C7B8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60C4A552">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达成年初设立的绩效目标，在实施过程中取得了良好的成效，具体表现在：通过项目的实施，完成了新建输水管道3.75km，新建沉沙池1座，保证已完工项目质量合格，项目按时开工。但也存在一些不足，由于该项目属于跨年度工程在工程资金执行率方面还存在不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此次绩效评价通过绩效评价小组论证的评价指标体系及评分标准，采用因素分析法和比较法对本项目绩效进行客观评价，最终评分结果：总分为97.76分，绩效评级为“优”。综合评价结论如下：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 xml:space="preserve"> 本项目共设置三级指标数量23个，实现三级指标数量21个，总体完成率为98.65%。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项目决策类指标共设置6个，满分指标5个，得分率95.2%；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过程管理类指标共设置5个，满分指标4个，得分率93.47%；</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项目产出类指标共设置8个，满分指标8个，得分率100%；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项目效益类指标共设置2个，满分指标2个，得分率100%；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项目满意度类指标共设置2个，满分指标2个，得分率100%。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20.00  17.76  30.00  20.00  10.00  97.76</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95.24% 93.47% 100.00% 100.00% 100.00% 97.76%</w:t>
      </w:r>
    </w:p>
    <w:p w14:paraId="46038C2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7595DB6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985456C">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项目决策类指标由3个二级指标和5个三级指标构成，权重分21.00分，实际得分20.00分。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昌吉州发改委下发《关于新疆昌吉州吉木萨尔县大有灌区续建配套与节水改造项目可行性研究报告的批复》（昌州发改农发〔2024〕3号）、昌吉州发改委下发《关于新疆昌吉州吉木萨尔县大有灌区续建配套与节水改造项目初步设计的批复》（昌州发改农发〔2024〕105号）内容，符合行业发展规划和政策要求；本项目立项符合《吉木萨尔县水利管理站机构职能编制规定》中职责范围中的“承担全县水利工程规划及管理工作；负责渠首、干渠及支渠出水口水利工程的巡查及维护工作”，属于我单位履职所需；根据《财政资金直接支付申请书》，本项目资金性质为“公共财政预算”功能分类为“水利工程建设”经济分类为“基础设施建设”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本项目严格落实中央一号文件关于加强水利基础设施建设的需要，扎实推进重大水利工程建设，加快构建国家水网骨干网络。加快大中型灌区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和现代化改造。吉木萨尔县发改委上报《关于上报吉木萨尔县大有灌区续建配套与节水改造项目可行性研究报告的请示》（吉县发改〔2025〕5号）和昌吉州水利局出具《关于新疆昌吉州吉木萨尔县大有灌区续建配套与节水改造项目初步设计报告的审查意见》（昌州水字〔2024〕144号）经昌吉州发展和改革委员会审核，下发《关于新疆昌吉州吉木萨尔县大有灌区续建配套与节水改造项目可行性研究报告的批复》（昌州发改农发〔2024〕3号）、昌吉州发改委下发《关于新疆昌吉州吉木萨尔县大有灌区续建配套与节水改造项目初步设计的批复》（昌州发改农发〔2024〕105号）等批复文件，本项目正式设立。经查看，该项目立项过程产生的相关文件，符合相关要求。本项目为基础建设类项目，属于经常性项目，已按照要求编制完成《重大决策社会稳定风险评估报备表》，已委托新疆昌吉方汇水电设计有限公司编制《新疆昌吉州吉木萨尔县大有灌区续建配套与节水改造项目可行性研究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2024年计划完成新建输水管道3.75km，新建沉沙池1座，保证已完工项目质量合格，项目按时开工。待项目实施后，提高地表水资源利用率，改善灌区灌溉面积，争取使受益群众及收款单位满意度不低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31日，项目实际支出3105.89万元，预算执行率为69%，2024年完成新建输水管道3.75km，新建沉沙池1座，保证已完工项目质量合格，项目按时开工。项目实施后，提高地表水资源利用率，改善灌区灌溉面积，争取使受益群众及收款单位满意度达到90%。绩效目标与实际工作内容一致，两者具有相关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新建输水管道3.75km，新建沉沙池1座，支付工程款2602.02万元，支付监理费33.72万元，支付林地补偿费460.72万元，支付水土保持补偿费9.43万元，达到社会效益，收益群众和收款单位满意度达到90%，完成了各项指标，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④该项目批复的预算金额为4470.15万元，《项目支出绩效目标表》中预算金额为3105.89万元，预算确定的项目资金与预算确定的项目投资额不匹配，扣1分。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综上所述，本指标满分为4.00分，根据评分标准得3.00分，本项目绩效目标设置较合理。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7个，三级指标12个，定量指标12个，定性指标0个，指标量化率为100%，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新建输水管道3.75km”“新建沉沙池1座”，三级指标的年度指标值与年度绩效目标中任务数一致，已设置时效指标“工程开工及时率100%”。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综上所述，本指标满分为3.00分，根据评分标准得3.00分，本项目所设置绩效指标明确。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本项目预算编制通过编制了项目初步设计报告，按照设计报告概算编制本项目预算，即预算编制较科学且经过论证；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申请内容为计划完成新建输水管道3.75km，新建沉砂池1座，项目实际内容为完成新建输水管道3.75km，新建沉砂池1座，预算申请与《昌吉州发改委关于新疆昌吉州吉木萨尔县大有灌区续建配套与节水改造项目初步设计的批复》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年度预算申请资金3105.89万元，我单位在预算申请中严格按照项目实施内容及测算标准进行核算，其中：工程款2602.02万元，监理费33.72万元，林地补偿费460.72万元，水土保持补偿费9.43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吉木萨尔县发改委《关于申请吉木萨尔县2024年水利领域中型灌区项目中央预算内资金的请示》（吉县发改〔2023〕411号）和《关于新疆昌吉州吉木萨尔县大有灌区续建配套与节水改造项目初步设计的批复》（昌州发改农发〔2024〕105号）为依据进行资金分配，预算资金分配依据充分。根据《昌吉州发改委关于下达新疆专项2024年第二批中央预算投资计划的通知》（昌州发改投资〔2024〕113号），本项目实际到位资金3105.89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综上所述，本指标满分为2.00分，根据评分标准得2.00分，本项目资金分配合理。</w:t>
      </w:r>
      <w:r>
        <w:rPr>
          <w:rStyle w:val="19"/>
          <w:rFonts w:hint="eastAsia" w:ascii="楷体" w:hAnsi="楷体" w:eastAsia="楷体"/>
          <w:b w:val="0"/>
          <w:bCs w:val="0"/>
          <w:spacing w:val="-4"/>
          <w:sz w:val="32"/>
          <w:szCs w:val="32"/>
        </w:rPr>
        <w:tab/>
      </w:r>
    </w:p>
    <w:p w14:paraId="772E2BBE">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24F1BA5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项目过程管理类指标由2个二级指标和5个三级指标构成，权重分19.00分，实际得分17.76分。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昌吉州发改委关于下达新疆专项2024年第二批中央预算投资计划的通知》（昌州发改投资〔2024〕113号）文件，本项目预算资金为4470.15万元，其中：中央预算资金4000万元，财政安排资金470.15万元，实际到位资金3105.89万元，资金到位率69.48%。</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综上所述，本指标满分为4.00分，根据评分标准得2.76分，本项目资金分配较合理。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本项目实际支出资金3105.89万元，预算执行率为100%；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综上所述，本指标满分为5.00分，根据评分标准得5分，本项目资金分配较合理。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中央财政预算管理一体化资金支付管理办法（试行）》财库〔2021〕5号、《新疆维吾尔自治区水利发展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新疆维吾尔自治区水利发展资金管理办法》、《新疆维吾尔自治区政府采购供应商监督管理暂行办法》、《新疆维吾尔自治区建筑市场管理条例》、《新疆维吾尔自治区建设工程造价管理办法》，《中央财政预算管理一体化资金支付管理办法（试行）》（财库〔2021〕5号)、《新疆维吾尔自治区水利发展资金管理办法》，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综上所述，本指标满分为2.00分，根据评分标准得2.00分，项目制度建设健全。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新疆维吾尔自治区建设工程招标投标管理办法》（新建发〔2000〕7号)、《中华人民共和国合同法》《中央财政预算管理一体化资金支付管理办法（试行）》（财库〔2021〕5号)、《新疆维吾尔自治区水利发展资金管理办法》等相关法律法规及管理规定，项目具备完整规范的立项程序；经查证项目实施过程资料，项目招投标、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②经现场查证项目合同书、项目施工资料、财务支付凭证等资料齐全并及时归档。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③该项目实施过程中不存在调整事项。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新疆昌吉州吉木萨尔县大有灌区续建配套与节水改造项目工作领导小组，由徐冲宇任组长，负责项目的组织工作；陶露任副组长，负责项目的实施工作；组员包括：阿尔祖古丽、郑培欢、石蓉，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综上所述，本指标满分为4.00分，根据评分标准得4.00分，本项目所建立制度执行有效。</w:t>
      </w:r>
    </w:p>
    <w:p w14:paraId="7DADCFE6">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3C64A92F">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项目产出类指标由4个二级指标和8个三级指标构成，权重分30.00分，实际得分30.00分。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“新建输水管道”指标：预期指标值为“大于等于3.75km”，实际完成指标值为“等于3.75km”，指标完成率为100%。根据新疆淼盛源项目管理有限公司出具的证明显示，实际完成值为3.75km。</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综上所述，本指标满分为6分，根据评分标准得6分。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“新建沉沙池”指标：预期指标值为“大于等于1座”，实际完成指标值为“等于1座”，指标完成率为100%。根据新疆淼盛源项目管理有限公司出具的证明显示，实际完成值为1座。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“已完工工程质量合格率”指标：预期指标值为“等于100%”，实际完成指标值为“=100%”，指标完成率为100%。根据新疆淼盛源项目管理有限公司出具的证明显示，实际完成值为100%。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综上所述，本指标满分为6.00分，根据评分标准得6.00分。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“工程开工及时率”指标：预期指标值为“等于100%”，实际完成指标值为“等于100%”，指标完成率为100%。根据水利工程建设项目开工报告审批表显示，实际完成值为100%。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“支付工程款”指标：预期指标值为“小于等于2602.02万元”，实际完成指标值为“等于2602.02万元”，指标完成率为100%。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综上所述，本指标满分为2.50分，根据评分标准得2.50分。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“支付监理费”指标：预期指标值为“小于等于33.72万元”，实际完成指标值为“等于33.72万元”，指标完成率为100%。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综上所述，本指标满分为2.50分，根据评分标准得2.50分。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“林地补偿费”指标：预期指标值为“小于等于460.72”，实际完成指标值为“等于460.72万元”，指标完成率为100%。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综上所述，本指标满分为2.50分，根据评分标准得2.50分。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“水土保持补偿费”指标：预期指标值为“小于等于9.43万元”，实际完成指标值为“等于9.43万元”，指标完成率为100%。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综上所述，本指标满分为2.50分，根据评分标准得2.50分。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529095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4EB8BC28">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项目效益类指标由2个二级指标和2个三级指标构成，权重分20.00分，实际得分20.00分。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“建设期无安全事故发生”指标：预期指标值为“等于0起”，实际完成指标值为“等于0起”，指标完成率为100%。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“建设期无环保处罚”指标：预期指标值为“等于0起”，实际完成指标值为“等于0起”，指标完成率为100%。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综上所述，本指标满分为10.00分，根据评分标准得10.00分。</w:t>
      </w:r>
    </w:p>
    <w:p w14:paraId="479B3CD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项目满意度类指标由1个二级指标和2个三级指标构成，权重分10.00分，实际得分10.00分。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“受益群众满意度”指标：预期指标值为“大于等于90%”，实际完成指标值为“等于90%”，指标完成率为100%。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“收款单位满意度”指标：预期指标值为“大于等于90%”，实际完成指标值为“等于90%”，指标完成率为100%。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综上所述，本指标满分为5.00分，根据评分标准得5.00分。</w:t>
      </w:r>
    </w:p>
    <w:p w14:paraId="7B3BC345">
      <w:pPr>
        <w:spacing w:line="540" w:lineRule="exact"/>
        <w:ind w:firstLine="567"/>
        <w:rPr>
          <w:rStyle w:val="19"/>
          <w:rFonts w:hint="eastAsia" w:ascii="楷体" w:hAnsi="楷体" w:eastAsia="楷体"/>
          <w:b w:val="0"/>
          <w:bCs w:val="0"/>
          <w:spacing w:val="-4"/>
          <w:sz w:val="32"/>
          <w:szCs w:val="32"/>
        </w:rPr>
      </w:pPr>
    </w:p>
    <w:p w14:paraId="445FE104">
      <w:pPr>
        <w:spacing w:line="540" w:lineRule="exact"/>
        <w:ind w:firstLine="567"/>
        <w:rPr>
          <w:rStyle w:val="19"/>
          <w:rFonts w:ascii="楷体" w:hAnsi="楷体" w:eastAsia="楷体"/>
          <w:spacing w:val="-4"/>
          <w:sz w:val="32"/>
          <w:szCs w:val="32"/>
        </w:rPr>
      </w:pPr>
    </w:p>
    <w:p w14:paraId="52687462">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4F01EEC5">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绩效自评之前，我们需要先明确评价标准和指标，这些指标是否可以完成；同时做好项目实施的跟踪检查工作，定期不定期的对项目实施情况和经费使用目标进行跟踪检查，对能实现预期绩效目标的项目予以充分肯定，在执行的过程中认真履行职责，严格把控资金流向，充分发挥绩效工作的重要性。对进度缓慢，预期绩效目标较差的项目，及时协调和提出整改措施，确保项目实施工作正常运行，达到预期绩效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存在偏差率，主要是该项目为跨年项目，项目开工时间晚，造成项目施工量较少，致使项目资金支付执行率低，没有达到预期执行目标，后期要及时予以资金保障，及时化解预期风险，确保项目高质量推进。</w:t>
      </w:r>
    </w:p>
    <w:p w14:paraId="5C00E13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69016011">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建议绩效审核部门多开展绩效工作填报培训工作，从而能提高绩效评价这项工作的重要性和操作性，一个项目的开始到结束从绩效完成情况就可以反映出该项目是否在可控范围内，也可以严格把控资金，掌握资金动态，避免出现违规等其他影响绩效自评的事情发生。同时加强资金管理，严格落实资金审批流程，做到合规合理。严格按照预算科目和金额控制各项费用支出，严禁超预算支出。对于确需调整预算的情况，应按照规定的程序进行申报和审批，确保预算的严肃性。</w:t>
      </w:r>
    </w:p>
    <w:p w14:paraId="2EE3A45E">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6D9A294E">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6A382A98">
      <w:pPr>
        <w:spacing w:line="540" w:lineRule="exact"/>
        <w:ind w:firstLine="567"/>
        <w:rPr>
          <w:rStyle w:val="19"/>
          <w:rFonts w:ascii="仿宋" w:hAnsi="仿宋" w:eastAsia="仿宋"/>
          <w:b w:val="0"/>
          <w:spacing w:val="-4"/>
          <w:sz w:val="32"/>
          <w:szCs w:val="32"/>
        </w:rPr>
      </w:pPr>
    </w:p>
    <w:p w14:paraId="057B218A">
      <w:pPr>
        <w:spacing w:line="540" w:lineRule="exact"/>
        <w:ind w:firstLine="567"/>
        <w:rPr>
          <w:rStyle w:val="19"/>
          <w:rFonts w:ascii="仿宋" w:hAnsi="仿宋" w:eastAsia="仿宋"/>
          <w:b w:val="0"/>
          <w:spacing w:val="-4"/>
          <w:sz w:val="32"/>
          <w:szCs w:val="32"/>
        </w:rPr>
      </w:pPr>
    </w:p>
    <w:p w14:paraId="2D05BD91">
      <w:pPr>
        <w:spacing w:line="540" w:lineRule="exact"/>
        <w:ind w:firstLine="567"/>
        <w:rPr>
          <w:rStyle w:val="19"/>
          <w:rFonts w:ascii="仿宋" w:hAnsi="仿宋" w:eastAsia="仿宋"/>
          <w:b w:val="0"/>
          <w:spacing w:val="-4"/>
          <w:sz w:val="32"/>
          <w:szCs w:val="32"/>
        </w:rPr>
      </w:pPr>
    </w:p>
    <w:p w14:paraId="2F313E75">
      <w:pPr>
        <w:spacing w:line="540" w:lineRule="exact"/>
        <w:ind w:firstLine="567"/>
        <w:rPr>
          <w:rStyle w:val="19"/>
          <w:rFonts w:ascii="仿宋" w:hAnsi="仿宋" w:eastAsia="仿宋"/>
          <w:b w:val="0"/>
          <w:spacing w:val="-4"/>
          <w:sz w:val="32"/>
          <w:szCs w:val="32"/>
        </w:rPr>
      </w:pPr>
    </w:p>
    <w:p w14:paraId="5A355175">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48A172A">
        <w:pPr>
          <w:pStyle w:val="12"/>
          <w:jc w:val="center"/>
        </w:pPr>
        <w:r>
          <w:fldChar w:fldCharType="begin"/>
        </w:r>
        <w:r>
          <w:instrText xml:space="preserve">PAGE   \* MERGEFORMAT</w:instrText>
        </w:r>
        <w:r>
          <w:fldChar w:fldCharType="separate"/>
        </w:r>
        <w:r>
          <w:rPr>
            <w:lang w:val="zh-CN"/>
          </w:rPr>
          <w:t>2</w:t>
        </w:r>
        <w:r>
          <w:fldChar w:fldCharType="end"/>
        </w:r>
      </w:p>
    </w:sdtContent>
  </w:sdt>
  <w:p w14:paraId="24703137">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03C5682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semiHidden/>
    <w:unhideWhenUsed/>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uiPriority w:val="10"/>
    <w:rPr>
      <w:rFonts w:asciiTheme="majorHAnsi" w:hAnsiTheme="majorHAnsi" w:eastAsiaTheme="majorEastAsia"/>
      <w:b/>
      <w:bCs/>
      <w:kern w:val="28"/>
      <w:sz w:val="32"/>
      <w:szCs w:val="32"/>
    </w:rPr>
  </w:style>
  <w:style w:type="character" w:customStyle="1" w:styleId="31">
    <w:name w:val="副标题 Char"/>
    <w:basedOn w:val="18"/>
    <w:link w:val="14"/>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uiPriority w:val="99"/>
    <w:rPr>
      <w:rFonts w:ascii="Calibri" w:hAnsi="Calibri" w:eastAsia="宋体"/>
      <w:kern w:val="2"/>
      <w:sz w:val="18"/>
      <w:szCs w:val="18"/>
    </w:rPr>
  </w:style>
  <w:style w:type="character" w:customStyle="1" w:styleId="45">
    <w:name w:val="页脚 Char"/>
    <w:basedOn w:val="18"/>
    <w:link w:val="12"/>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ff40ca61-58cd-424f-875d-b4d2b0b1827e}">
  <ds:schemaRefs/>
</ds:datastoreItem>
</file>

<file path=docProps/app.xml><?xml version="1.0" encoding="utf-8"?>
<Properties xmlns="http://schemas.openxmlformats.org/officeDocument/2006/extended-properties" xmlns:vt="http://schemas.openxmlformats.org/officeDocument/2006/docPropsVTypes">
  <Template>Normal.dotm</Template>
  <Pages>25</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2026-08-20T04:31:39Z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