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2F5AF"/>
    <w:p w14:paraId="4090E7A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3C42A7B">
      <w:pPr>
        <w:spacing w:line="540" w:lineRule="exact"/>
        <w:jc w:val="center"/>
        <w:rPr>
          <w:rFonts w:ascii="华文中宋" w:hAnsi="华文中宋" w:eastAsia="华文中宋" w:cs="宋体"/>
          <w:b/>
          <w:kern w:val="0"/>
          <w:sz w:val="52"/>
          <w:szCs w:val="52"/>
        </w:rPr>
      </w:pPr>
    </w:p>
    <w:p w14:paraId="46769D6D">
      <w:pPr>
        <w:spacing w:line="540" w:lineRule="exact"/>
        <w:jc w:val="center"/>
        <w:rPr>
          <w:rFonts w:ascii="华文中宋" w:hAnsi="华文中宋" w:eastAsia="华文中宋" w:cs="宋体"/>
          <w:b/>
          <w:kern w:val="0"/>
          <w:sz w:val="52"/>
          <w:szCs w:val="52"/>
        </w:rPr>
      </w:pPr>
    </w:p>
    <w:p w14:paraId="1913CED4">
      <w:pPr>
        <w:spacing w:line="540" w:lineRule="exact"/>
        <w:jc w:val="center"/>
        <w:rPr>
          <w:rFonts w:ascii="华文中宋" w:hAnsi="华文中宋" w:eastAsia="华文中宋" w:cs="宋体"/>
          <w:b/>
          <w:kern w:val="0"/>
          <w:sz w:val="52"/>
          <w:szCs w:val="52"/>
        </w:rPr>
      </w:pPr>
    </w:p>
    <w:p w14:paraId="20B89832">
      <w:pPr>
        <w:spacing w:line="540" w:lineRule="exact"/>
        <w:jc w:val="center"/>
        <w:rPr>
          <w:rFonts w:ascii="华文中宋" w:hAnsi="华文中宋" w:eastAsia="华文中宋" w:cs="宋体"/>
          <w:b/>
          <w:kern w:val="0"/>
          <w:sz w:val="52"/>
          <w:szCs w:val="52"/>
        </w:rPr>
      </w:pPr>
    </w:p>
    <w:p w14:paraId="3EFE092E">
      <w:pPr>
        <w:spacing w:line="540" w:lineRule="exact"/>
        <w:jc w:val="center"/>
        <w:rPr>
          <w:rFonts w:ascii="华文中宋" w:hAnsi="华文中宋" w:eastAsia="华文中宋" w:cs="宋体"/>
          <w:b/>
          <w:kern w:val="0"/>
          <w:sz w:val="52"/>
          <w:szCs w:val="52"/>
        </w:rPr>
      </w:pPr>
    </w:p>
    <w:p w14:paraId="448F67A6">
      <w:pPr>
        <w:spacing w:line="540" w:lineRule="exact"/>
        <w:jc w:val="center"/>
        <w:rPr>
          <w:rFonts w:ascii="华文中宋" w:hAnsi="华文中宋" w:eastAsia="华文中宋" w:cs="宋体"/>
          <w:b/>
          <w:kern w:val="0"/>
          <w:sz w:val="52"/>
          <w:szCs w:val="52"/>
        </w:rPr>
      </w:pPr>
    </w:p>
    <w:p w14:paraId="1F3E566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7E32432">
      <w:pPr>
        <w:spacing w:line="540" w:lineRule="exact"/>
        <w:jc w:val="center"/>
        <w:rPr>
          <w:rFonts w:ascii="华文中宋" w:hAnsi="华文中宋" w:eastAsia="华文中宋" w:cs="宋体"/>
          <w:b/>
          <w:kern w:val="0"/>
          <w:sz w:val="52"/>
          <w:szCs w:val="52"/>
        </w:rPr>
      </w:pPr>
    </w:p>
    <w:p w14:paraId="45BEB2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624A2F1">
      <w:pPr>
        <w:spacing w:line="540" w:lineRule="exact"/>
        <w:jc w:val="center"/>
        <w:rPr>
          <w:rFonts w:hAnsi="宋体" w:eastAsia="仿宋_GB2312" w:cs="宋体"/>
          <w:kern w:val="0"/>
          <w:sz w:val="30"/>
          <w:szCs w:val="30"/>
        </w:rPr>
      </w:pPr>
    </w:p>
    <w:p w14:paraId="1924790A">
      <w:pPr>
        <w:spacing w:line="540" w:lineRule="exact"/>
        <w:jc w:val="center"/>
        <w:rPr>
          <w:rFonts w:hAnsi="宋体" w:eastAsia="仿宋_GB2312" w:cs="宋体"/>
          <w:kern w:val="0"/>
          <w:sz w:val="30"/>
          <w:szCs w:val="30"/>
        </w:rPr>
      </w:pPr>
    </w:p>
    <w:p w14:paraId="019172D9">
      <w:pPr>
        <w:spacing w:line="540" w:lineRule="exact"/>
        <w:jc w:val="center"/>
        <w:rPr>
          <w:rFonts w:hAnsi="宋体" w:eastAsia="仿宋_GB2312" w:cs="宋体"/>
          <w:kern w:val="0"/>
          <w:sz w:val="30"/>
          <w:szCs w:val="30"/>
        </w:rPr>
      </w:pPr>
    </w:p>
    <w:p w14:paraId="6E219E6F">
      <w:pPr>
        <w:spacing w:line="540" w:lineRule="exact"/>
        <w:jc w:val="center"/>
        <w:rPr>
          <w:rFonts w:hAnsi="宋体" w:eastAsia="仿宋_GB2312" w:cs="宋体"/>
          <w:kern w:val="0"/>
          <w:sz w:val="30"/>
          <w:szCs w:val="30"/>
        </w:rPr>
      </w:pPr>
    </w:p>
    <w:p w14:paraId="10A4301F">
      <w:pPr>
        <w:spacing w:line="540" w:lineRule="exact"/>
        <w:jc w:val="center"/>
        <w:rPr>
          <w:rFonts w:hAnsi="宋体" w:eastAsia="仿宋_GB2312" w:cs="宋体"/>
          <w:kern w:val="0"/>
          <w:sz w:val="30"/>
          <w:szCs w:val="30"/>
        </w:rPr>
      </w:pPr>
    </w:p>
    <w:p w14:paraId="3026C736">
      <w:pPr>
        <w:spacing w:line="540" w:lineRule="exact"/>
        <w:jc w:val="center"/>
        <w:rPr>
          <w:rFonts w:hAnsi="宋体" w:eastAsia="仿宋_GB2312" w:cs="宋体"/>
          <w:kern w:val="0"/>
          <w:sz w:val="30"/>
          <w:szCs w:val="30"/>
        </w:rPr>
      </w:pPr>
    </w:p>
    <w:p w14:paraId="41BF7758">
      <w:pPr>
        <w:spacing w:line="540" w:lineRule="exact"/>
        <w:rPr>
          <w:rFonts w:hAnsi="宋体" w:eastAsia="仿宋_GB2312" w:cs="宋体"/>
          <w:kern w:val="0"/>
          <w:sz w:val="30"/>
          <w:szCs w:val="30"/>
        </w:rPr>
      </w:pPr>
    </w:p>
    <w:p w14:paraId="59A1220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C07C89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中央和州本级残疾人事业发展补助资金</w:t>
      </w:r>
    </w:p>
    <w:p w14:paraId="25986BD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吉木萨尔县残疾人联合会本级</w:t>
      </w:r>
    </w:p>
    <w:p w14:paraId="7C6697C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吉木萨尔县残疾人联合会本级</w:t>
      </w:r>
    </w:p>
    <w:p w14:paraId="506861C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张建玲</w:t>
      </w:r>
    </w:p>
    <w:p w14:paraId="226D35B0">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2025年05月14日</w:t>
      </w:r>
    </w:p>
    <w:p w14:paraId="195D8861">
      <w:pPr>
        <w:spacing w:line="700" w:lineRule="exact"/>
        <w:ind w:firstLine="708" w:firstLineChars="236"/>
        <w:jc w:val="left"/>
        <w:rPr>
          <w:rFonts w:hAnsi="宋体" w:eastAsia="仿宋_GB2312" w:cs="宋体"/>
          <w:kern w:val="0"/>
          <w:sz w:val="30"/>
          <w:szCs w:val="30"/>
        </w:rPr>
      </w:pPr>
    </w:p>
    <w:p w14:paraId="1854005B">
      <w:pPr>
        <w:spacing w:line="540" w:lineRule="exact"/>
        <w:rPr>
          <w:rStyle w:val="19"/>
          <w:rFonts w:ascii="黑体" w:hAnsi="黑体" w:eastAsia="黑体"/>
          <w:b w:val="0"/>
          <w:spacing w:val="-4"/>
          <w:sz w:val="32"/>
          <w:szCs w:val="32"/>
        </w:rPr>
      </w:pPr>
    </w:p>
    <w:p w14:paraId="24B61E9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65CFC9ED">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08D54B7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阳光家园计划”项目年度工作的实施，帮助残疾人得到托养照料；满足成人肢体康复需求，肢体残疾人通过在基层医疗卫生机构和社区康复站点进行康复训练后恢复和改善身体机能；为0-16岁残疾儿童少年提供康复救助，提高残疾儿童少年智力、听力言语及各项身体功能，减轻家庭负担；进一步加强残疾人社区康复站规范化建设，保障康复员工资，为肢体残疾人提供康复指导服务；补充乡镇卫生院康复站康复器材，进一步提高肢体残疾人康复训练效果；通过培训掌握一项职业技能，鼓励残疾人自主创业及推荐就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（1）项目名称：中央和州本级残疾人事业发展补助资金（以下简称“该项目”或“项目”）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（2）项目主要内容：开展“阳光家园计划”托养照料、成人肢体康复训练、残疾儿童康复救助、社区康复站规范化建设、乡镇卫生院康复站康复器材购置、残疾人培训等服务内容。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实施主体：吉木萨尔县残疾人联合会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2024年12月31日，本项目实际支出资金43.48万元，预算执行率为100%。实际已完成的具体指标如下：1、残疾人托养照料下达任务数75人，支付资金8万元，目前完成率100%； 2、肢体残疾人康复任务数30人，支付资金9万元，目前完成率100%； 3、残疾儿童少年康复救助任务数12人，支付资金3.8万元，目前完成率100%； 4、残疾人社区康复站点规范化建设补助经费任务数1个，支付资金7.5万元，目前完成率100%； 5、乡镇卫生院残疾人康复站康复器材购置费任务数6个，支付资金11.78万元，目前完成率100%； 6、培训任务数17人，支付资金3.4万元，目前完成率100%。通过实施本项目，切实满足了残疾人群体的康复救助需求。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主体的主要职能：残疾人联合会主要开展残疾人康复、教育、劳动就业、文化体育、无障碍设施和残疾预防工作；听取残疾人意见，反映残疾人需求，维护残疾人权益，为残疾人服务；指导和管理各类残疾人社团组织；协助政府研究、制定和实施残疾人事业的规章、政策、规划和计划，对有关残疾人工作业务领域进行指导和管理；根据政策积极创造良好环境和条件，扶助残疾人平等参与社会发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机构设置情况：吉木萨尔县残疾人联合会共有编制9名，其中：行政编制3名，事业编制6名。编外人员2人，实有在职人员11人,退休人5人。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本项目预算安排总额为43.48万元，资金来源为中央专项资金和州本级残疾人事业发展补助资金，其中：财政资金43.48万元，2024年实际收到预算资金43.48万元，预算资金到位率为100%。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43.48万元，预算执行率100%。本项目资金主要用于支付残疾人托养照料资金8万元、肢体残疾人康复资金9万元、残疾儿童少年康复救助资金3.8万元、残疾人社区康复站点规范化建设补助资金7.5万元、乡镇卫生院残疾人康复站康复器材购置资金11.78万元、培训资金3.4万元。</w:t>
      </w:r>
    </w:p>
    <w:p w14:paraId="7057BA7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C3EE5B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阳光家园计划”项目年度工作的实施，帮助残疾人得到托养照料；满足成人肢体康复需求，肢体残疾人通过在基层医疗卫生机构和社区康复站点进行康复训练后恢复和改善身体机能；为0-16岁残疾儿童少年提供康复救助，提高残疾儿童少年智力、听力言语及各项身体功能，减轻家庭负担；进一步加强残疾人社区康复站规范化建设，保障康复员工资，为肢体残疾人提供康复指导服务；补充乡镇卫生院康复站康复器材，进一步提高肢体残疾人康复训练效果；通过培训掌握一项职业技能，鼓励残疾人自主创业及推荐就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“阳光家园计划”日间照料人数指标，预期指标值为大于等于75人；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“肢体残疾人康复人数”指标，预期指标值为大于等于30人；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“残疾儿童少年康复救助人数”指标，预期指标值为大于等于12人；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“残疾人社区康复站规范化建设补助任务数”指标，预期指标值为大于等于1个；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“乡镇卫生院残疾人康复站康复器材购置任务数”指标，预期指标值为大于等于6个；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“残疾人培训人数”指标，预期指标值为大于等于17人；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“肢体残疾人康复服务率”指标，预期指标值为大于等于95%；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“残疾儿童少年康复救助率”指标，预期指标值为大于等于95%；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“补助资金到位及时率”指标，预期指标值为等于100%；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“阳光家园计划”日间照料人均标准”指标，预期指标值为小于等于1067元/人；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“肢体残疾人康复人均标准”指标，预期指标值为小于等于3000元/人；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“残疾儿童少年康复救助人均标准”指标，预期指标值为小于等于3167元/人；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“残疾人社区康复站规范化建设补助标准”指标，预期指标值为小于等于75000元/个；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“乡镇卫生院残疾人康复站康复器材购置费”指标，预期指标值为小于等于19633元/个；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“残疾人培训人均标准”指标，预期指标值为小于等于2000元/人；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“残疾人康复服务水平”指标，预期指标值为有所提高；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“关心、理解支付残疾人的社会氛围”指标，预期指标值为有所提高；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“残疾人及其家属对残疾人服务的满意度”指标，预期指标值为大于等于85%。</w:t>
      </w:r>
    </w:p>
    <w:p w14:paraId="54E2684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C231F6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442B7D0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中央和州本级残疾人事业发展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此次我单位根据《财政支出绩效评价管理暂行办法》（财预〔2020〕10号）文件要求实施评价工作，本次评价对象为中央和州本级残疾人事业发展补助资金项目，评价核心为项目资金、项目产出、项目效益。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3032786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50AC3B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r>
        <w:rPr>
          <w:rStyle w:val="19"/>
          <w:rFonts w:hint="eastAsia" w:ascii="楷体" w:hAnsi="楷体" w:eastAsia="楷体"/>
          <w:b w:val="0"/>
          <w:bCs w:val="0"/>
          <w:spacing w:val="-4"/>
          <w:sz w:val="32"/>
          <w:szCs w:val="32"/>
        </w:rPr>
        <w:t>截止</w:t>
      </w:r>
      <w:bookmarkEnd w:id="0"/>
      <w:r>
        <w:rPr>
          <w:rStyle w:val="19"/>
          <w:rFonts w:hint="eastAsia" w:ascii="楷体" w:hAnsi="楷体" w:eastAsia="楷体"/>
          <w:b w:val="0"/>
          <w:bCs w:val="0"/>
          <w:spacing w:val="-4"/>
          <w:sz w:val="32"/>
          <w:szCs w:val="32"/>
        </w:rPr>
        <w:t>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DC2FE2B">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52FF389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张建玲（评价小组组长）：主要负责项目策划和监督，全面负责项目绩效评价报告的最终质量，对评价人员出具的最终报告质量进行复核，确保评估结果的客观性；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解军、李任霞（评价小组组员）：主要负责资料的收集，取证、数据统计分析；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马艳霞（评价小组组员）：主要负责项目报告的制定，指标的研判，数据分析及报告撰写。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F41F68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552034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经评价，本项目已达成年初设立的绩效目标，在实施过程中取得了良好的成效，具体表现在：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在项目决策方面：达到了预期的目的，进一步提高了残疾人服务工作水平。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在项目管理方面：专项资金不挤占、不挪用、确保专款专用。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在项目产出方面：按项目下达的任务指标进行具体量化，科学设置出数量指标、质量指标、时效指标以及成本指标，逐项完成。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在项目效益方面：进一步提高了残疾人康复服务水平及融入社会生活的能力。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30个，实现三级指标数量30个，总体完成率为100%。项目决策类指标共设置6个，满分指标6个，得分率100%；过程管理类指标共设置5个，满分指标5个，得分率100%；项目产出类指标共设置16个，满分指标16个，得分率100%；项目效益类指标共设置2个，满分指标2个，得分率100%；项目满意度类指标共设置1个，满分指标1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 100%</w:t>
      </w:r>
    </w:p>
    <w:p w14:paraId="4413600E">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604E413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79EFF71">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残疾人事业发展补助范围，符合行业发展规划和政策要求；本项目立项符合《吉木萨尔县残疾人联合会配置内设机构和人员编制规定》中职责范围中的“保障残疾人事业发展工作”，属于我单位履职所需；根据《财政资金直接支付申请书》，本项目资金性质为“公共财政预算”，功能分类为“2081104”、“2081105”、“2081199”，经济分类为“残疾人康复支出”、“残疾人就业支出”、“其他残疾人事业支出”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该项目属于补助类项目，单位根据实施方案实施该项目，经过了集体决策程序。由我单位严格按照《国务院关于印发&lt;“十四五”残疾人保障和发展规划&gt;的通知》（国发〔2021〕10号）文件要求实施项目。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本指标满分为3.00分，根据评分标准得3分，本项目立项程序规范。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①该项目已设置年度绩效目标，具体内容为1、通过“阳光家园计划”项目年度工作的实施，帮助残疾人得到托养照料，下达任务数75人，拨付资金8万元；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2、满足成人肢体康复需求，肢体残疾人通过在基层医疗卫生机构和社区康复站点进行康复训练后恢复和改善身体机能，下达肢体残疾人康复任务数30人，拨付资金9万元；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3、为0-16岁残疾儿童少年提供康复救助，提高残疾儿童少年智力、听力言语及各项身体功能，减轻家庭负担，下达残疾儿童少年康复救助任务数12人，拨付资金3.8万元；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4、加强残疾人社区康复站规范化建设，保障康复员工资，为肢体残疾人提供康复指导服务，下达残疾人社区康复站点规范化建设补助经费任务数1个，拨付资金7.5万元；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5、补充乡镇卫生院康复站康复器材，进一步提高肢体残疾人康复训练效果，下达乡镇卫生院残疾人康复站康复器材购置费任务数6个，拨付资金11.78万元；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6、通过培训掌握一项职业技能，鼓励残疾人自主创业及推荐就业，下达培训任务数17人，拨付资金3.4万元。。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残疾人托养照料、肢体残疾人康复、残疾儿童少年康复救助、残疾人社区康复站点规范化建设、乡镇卫生院残疾人康复站康复器材购置、残疾人培训。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③该项目按照绩效目标完成数量指标、质量指标、时效指标、成本指标，切实满足了残疾人群体的康复救助需求，进一步提高了残疾人生产生活水平，预期产出效益和效果符合正常的业绩水平。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④该项目批复的预算金额为43.48万元，《项目支出绩效目标表》中预算金额为43.48万元，预算确定的项目资金与预算确定的项目投资额相匹配。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19个，定量指标16个，定性指标3个，指标量化率为84.21%，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阳光家园计划”日间照料人数指标，预期指标值为大于等于75人；“肢体残疾人康复人数”指标，预期指标值为大于等于30人；“残疾儿童少年康复救助人数”指标，预期指标值为大于等于12人；“残疾人社区康复站规范化建设补助任务数”指标，预期指标值为大于等于1个；“乡镇卫生院残疾人康复站康复器材购置任务数”指标，预期指标值为大于等于6个；“残疾人培训人数”指标，预期指标值为大于等于17人，三级指标的年度指标值与年度绩效目标中任务数一致，已设置时效指标为项目完成时间为2024年12月底。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本项目预算编制通过前期调研和类似项目对比分析，即预算编制较科学且经过论证；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预算申请内容为中央和州本级残疾人事业发展补助资金43.48万元，项目实际内容为43.48万元，预算申请与中央和州本级下达的资金文件中涉及的项目内容匹配；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43.48万元，我单位在预算申请中严格按照项目实施内容及测算标准进行核算，其中：残疾人托养照料费用8万元、肢体残疾人康复费用9万元、残疾儿童少年康复救助费用3.8万元、残疾人社区康复站点规范化建设补助费用7.5万元、乡镇卫生院残疾人康复站康复器材购置费用11.78万元、培训费用3.4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昌州财社【2024】34号、昌州财社【2024】27号文件为依据进行资金分配，预算资金分配依据充分。根据昌州财社【2024】34号、昌州财社【2024】27号文件，本项目实际到位资金43.48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77C475A7">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5074160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本项目预算资金为43.48万元，其中：财政安排资金43.48万元，其他资金0万元，实际到位资金43.48万元，资金到位率100%。得分100分。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本项目实际支出资金43.48万元，预算执行率100%；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项目已完成，总体完成率为100%；得分5分。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实施合同、资金申请文件、发票等财务付款凭证，得出本项目资金支出符合国家财经法规、《政府会计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财务管理制度》《预算管理制度》《决算管理制度》等内控相关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财务管理制度》《预算管理制度》《决算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中央和州本级残疾人事业发展补助项目工作领导小组，由张建玲任组长，负责项目的组织工作；阿合买提·阿帕尔任副组长，负责项目的实施工作；组员包括：解军、李任霞和马艳霞，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综上所述，本指标满分为4.00分，根据评分标准得4分，本项目所建立制度执行有效。</w:t>
      </w:r>
    </w:p>
    <w:p w14:paraId="1670E68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044E538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项目产出类指标由4个二级指标和16个三级指标构成，权重分30.00分，实际得分30分。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“阳光家园计划”日间照料人数指标：预期指标值为大于等于75人，实际完成指标值为75人，指标完成率为100.00%。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“肢体残疾人康复人数”指标，预期指标值为大于等于30人，实际完成指标值为30人，指标完成率为100%。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“残疾儿童少年康复救助人数”指标，预期指标值为大于等于12人，实际完成指标值为12人，指标完成率为100%。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“残疾人社区康复站规范化建设补助任务数”指标，预期指标值为大于等于1个，实际完成指标值为1个，指标完成率为100%。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“乡镇卫生院残疾人康复站康复器材购置任务数”指标，预期指标值为大于等于6个，实际完成指标值为6个，指标完成率为100%。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“残疾人培训人数”指标，预期指标值为大于等于17人，实际完成指标值为17人，指标完成率为100%。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“肢体残疾人康复服务率”指标，预期指标值为大于等于95%，实际完成指标值为95%，指标完成率为100%。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“残疾儿童少年康复救助率”指标，预期指标值为大于等于95%，实际完成指标值为95%，指标完成率为100%。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“补助资金到位及时率”指标，预期指标值为100%，实际完成指标值为100%，指标完成率为100%。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“项目完成时间”指标，预期指标值为2024年12月底，实际完成指标值为2024年12月底，指标完成率为100%。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“阳光家园计划”日间照料人均标准指标，预期指标值为小于等于1067元/人，实际完成指标值为1067元/人，指标完成率为100%。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“肢体残疾人康复人均标准”指标，预期指标值为小于等于3000元/人，实际完成指标值为3000元/人，指标完成率为100%。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“残疾儿童少年康复救助人均标准”指标，预期指标值为小于等于3167元/人，实际完成指标值为3167元/人，指标完成率为100%。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“残疾人社区康复站规范化建设补助标准”指标，预期指标值为小于等于75000元/个，实际完成指标值为75000元/个，指标完成率为100%。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“乡镇卫生院残疾人康复站康复器材购置费”指标，预期指标值为小于等于19633元/个，实际完成指标值为19633元/个，指标完成率为100%。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“残疾人培训人均标准”指标，预期指标值为小于等于2000元/人，实际完成指标值为2000元/人，指标完成率为100%。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51B9F54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2DA8098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项目效益类指标由1个二级指标和2个三级指标构成，权重分20.00分，实际得分20分。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“残疾人康复服务水平”指标，预期指标值为有所提高，实际完成指标值为有所提高，指标完成率为100%。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“关心、理解支付残疾人的社会氛围”指标，预期指标值为有所提高，实际完成指标值为有所提高，指标完成率为100%。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37770D6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“残疾人及其家属对残疾人服务的满意度”指标，预期指标值为大于等于85%，实际完成指标值为85%，指标完成率为100%。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164D63B2">
      <w:pPr>
        <w:spacing w:line="540" w:lineRule="exact"/>
        <w:ind w:firstLine="567"/>
        <w:rPr>
          <w:rStyle w:val="19"/>
          <w:rFonts w:hint="eastAsia" w:ascii="楷体" w:hAnsi="楷体" w:eastAsia="楷体"/>
          <w:b w:val="0"/>
          <w:bCs w:val="0"/>
          <w:spacing w:val="-4"/>
          <w:sz w:val="32"/>
          <w:szCs w:val="32"/>
        </w:rPr>
      </w:pPr>
    </w:p>
    <w:p w14:paraId="5AEE6073">
      <w:pPr>
        <w:spacing w:line="540" w:lineRule="exact"/>
        <w:ind w:firstLine="567"/>
        <w:rPr>
          <w:rStyle w:val="19"/>
          <w:rFonts w:ascii="楷体" w:hAnsi="楷体" w:eastAsia="楷体"/>
          <w:spacing w:val="-4"/>
          <w:sz w:val="32"/>
          <w:szCs w:val="32"/>
        </w:rPr>
      </w:pPr>
    </w:p>
    <w:p w14:paraId="2CCD8888">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21F818AB">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严格按照上级资金文件设置的绩效目标，规范合理设置本单位的绩效目标。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绩效指标的明确性、可衡量性、相关性还需进一步提升。预算精细化管理还需完善，预算编制管理水平仍有进一步提升的空间。</w:t>
      </w:r>
    </w:p>
    <w:p w14:paraId="677F1B5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30B6A601">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加强预算绩效目标管理工作。加大绩效工作宣传力度，强化绩效理念。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进一步完善绩效目标设置，提高项目绩效目标质量。提升预算精细化管理水平。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加强绩效业务学习及培训，提高业务人员绩效管理意识，进一步加强预算绩效管理工作，优化项目支出绩效指标体系，完善预算绩效管理制度，有效推动下一年度预算绩效管理工作常态化、规范化。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借助第三方专业机构力量，贯彻落实全面预算绩效管理工作，建立全过程预算绩效管理链条，将绩效各个环节紧密贯通。</w:t>
      </w:r>
    </w:p>
    <w:p w14:paraId="3775128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3BE1311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25C42750">
      <w:pPr>
        <w:spacing w:line="540" w:lineRule="exact"/>
        <w:ind w:firstLine="567"/>
        <w:rPr>
          <w:rStyle w:val="19"/>
          <w:rFonts w:ascii="仿宋" w:hAnsi="仿宋" w:eastAsia="仿宋"/>
          <w:b w:val="0"/>
          <w:spacing w:val="-4"/>
          <w:sz w:val="32"/>
          <w:szCs w:val="32"/>
        </w:rPr>
      </w:pPr>
    </w:p>
    <w:p w14:paraId="7764AC68">
      <w:pPr>
        <w:spacing w:line="540" w:lineRule="exact"/>
        <w:ind w:firstLine="567"/>
        <w:rPr>
          <w:rStyle w:val="19"/>
          <w:rFonts w:ascii="仿宋" w:hAnsi="仿宋" w:eastAsia="仿宋"/>
          <w:b w:val="0"/>
          <w:spacing w:val="-4"/>
          <w:sz w:val="32"/>
          <w:szCs w:val="32"/>
        </w:rPr>
      </w:pPr>
    </w:p>
    <w:p w14:paraId="45CA16D0">
      <w:pPr>
        <w:spacing w:line="540" w:lineRule="exact"/>
        <w:ind w:firstLine="567"/>
        <w:rPr>
          <w:rStyle w:val="19"/>
          <w:rFonts w:ascii="仿宋" w:hAnsi="仿宋" w:eastAsia="仿宋"/>
          <w:b w:val="0"/>
          <w:spacing w:val="-4"/>
          <w:sz w:val="32"/>
          <w:szCs w:val="32"/>
        </w:rPr>
      </w:pPr>
    </w:p>
    <w:p w14:paraId="5703928B">
      <w:pPr>
        <w:spacing w:line="540" w:lineRule="exact"/>
        <w:ind w:firstLine="567"/>
        <w:rPr>
          <w:rStyle w:val="19"/>
          <w:rFonts w:ascii="仿宋" w:hAnsi="仿宋" w:eastAsia="仿宋"/>
          <w:b w:val="0"/>
          <w:spacing w:val="-4"/>
          <w:sz w:val="32"/>
          <w:szCs w:val="32"/>
        </w:rPr>
      </w:pPr>
    </w:p>
    <w:p w14:paraId="07E26631">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FB26BC2">
        <w:pPr>
          <w:pStyle w:val="12"/>
          <w:jc w:val="center"/>
        </w:pPr>
        <w:r>
          <w:fldChar w:fldCharType="begin"/>
        </w:r>
        <w:r>
          <w:instrText xml:space="preserve">PAGE   \* MERGEFORMAT</w:instrText>
        </w:r>
        <w:r>
          <w:fldChar w:fldCharType="separate"/>
        </w:r>
        <w:r>
          <w:rPr>
            <w:lang w:val="zh-CN"/>
          </w:rPr>
          <w:t>2</w:t>
        </w:r>
        <w:r>
          <w:fldChar w:fldCharType="end"/>
        </w:r>
      </w:p>
    </w:sdtContent>
  </w:sdt>
  <w:p w14:paraId="2341FCD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498E7FC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e144f01e-5e75-42f1-b3a7-7d07e20a81ee}">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2026-08-20T04:30:19Z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