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D564D"/>
    <w:p w14:paraId="3F066EA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C7A925A">
      <w:pPr>
        <w:spacing w:line="540" w:lineRule="exact"/>
        <w:jc w:val="center"/>
        <w:rPr>
          <w:rFonts w:ascii="华文中宋" w:hAnsi="华文中宋" w:eastAsia="华文中宋" w:cs="宋体"/>
          <w:b/>
          <w:kern w:val="0"/>
          <w:sz w:val="52"/>
          <w:szCs w:val="52"/>
        </w:rPr>
      </w:pPr>
    </w:p>
    <w:p w14:paraId="128715A4">
      <w:pPr>
        <w:spacing w:line="540" w:lineRule="exact"/>
        <w:jc w:val="center"/>
        <w:rPr>
          <w:rFonts w:ascii="华文中宋" w:hAnsi="华文中宋" w:eastAsia="华文中宋" w:cs="宋体"/>
          <w:b/>
          <w:kern w:val="0"/>
          <w:sz w:val="52"/>
          <w:szCs w:val="52"/>
        </w:rPr>
      </w:pPr>
    </w:p>
    <w:p w14:paraId="07C557E6">
      <w:pPr>
        <w:spacing w:line="540" w:lineRule="exact"/>
        <w:jc w:val="center"/>
        <w:rPr>
          <w:rFonts w:ascii="华文中宋" w:hAnsi="华文中宋" w:eastAsia="华文中宋" w:cs="宋体"/>
          <w:b/>
          <w:kern w:val="0"/>
          <w:sz w:val="52"/>
          <w:szCs w:val="52"/>
        </w:rPr>
      </w:pPr>
    </w:p>
    <w:p w14:paraId="313B04FB">
      <w:pPr>
        <w:spacing w:line="540" w:lineRule="exact"/>
        <w:jc w:val="center"/>
        <w:rPr>
          <w:rFonts w:ascii="华文中宋" w:hAnsi="华文中宋" w:eastAsia="华文中宋" w:cs="宋体"/>
          <w:b/>
          <w:kern w:val="0"/>
          <w:sz w:val="52"/>
          <w:szCs w:val="52"/>
        </w:rPr>
      </w:pPr>
    </w:p>
    <w:p w14:paraId="0921366D">
      <w:pPr>
        <w:spacing w:line="540" w:lineRule="exact"/>
        <w:jc w:val="center"/>
        <w:rPr>
          <w:rFonts w:ascii="华文中宋" w:hAnsi="华文中宋" w:eastAsia="华文中宋" w:cs="宋体"/>
          <w:b/>
          <w:kern w:val="0"/>
          <w:sz w:val="52"/>
          <w:szCs w:val="52"/>
        </w:rPr>
      </w:pPr>
    </w:p>
    <w:p w14:paraId="34784BD1">
      <w:pPr>
        <w:spacing w:line="540" w:lineRule="exact"/>
        <w:jc w:val="center"/>
        <w:rPr>
          <w:rFonts w:ascii="华文中宋" w:hAnsi="华文中宋" w:eastAsia="华文中宋" w:cs="宋体"/>
          <w:b/>
          <w:kern w:val="0"/>
          <w:sz w:val="52"/>
          <w:szCs w:val="52"/>
        </w:rPr>
      </w:pPr>
    </w:p>
    <w:p w14:paraId="589785F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DC1CEC">
      <w:pPr>
        <w:spacing w:line="540" w:lineRule="exact"/>
        <w:jc w:val="center"/>
        <w:rPr>
          <w:rFonts w:ascii="华文中宋" w:hAnsi="华文中宋" w:eastAsia="华文中宋" w:cs="宋体"/>
          <w:b/>
          <w:kern w:val="0"/>
          <w:sz w:val="52"/>
          <w:szCs w:val="52"/>
        </w:rPr>
      </w:pPr>
    </w:p>
    <w:p w14:paraId="4ED1F90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24789C8">
      <w:pPr>
        <w:spacing w:line="540" w:lineRule="exact"/>
        <w:jc w:val="center"/>
        <w:rPr>
          <w:rFonts w:hAnsi="宋体" w:eastAsia="仿宋_GB2312" w:cs="宋体"/>
          <w:kern w:val="0"/>
          <w:sz w:val="30"/>
          <w:szCs w:val="30"/>
        </w:rPr>
      </w:pPr>
    </w:p>
    <w:p w14:paraId="0BE8CA56">
      <w:pPr>
        <w:spacing w:line="540" w:lineRule="exact"/>
        <w:jc w:val="center"/>
        <w:rPr>
          <w:rFonts w:hAnsi="宋体" w:eastAsia="仿宋_GB2312" w:cs="宋体"/>
          <w:kern w:val="0"/>
          <w:sz w:val="30"/>
          <w:szCs w:val="30"/>
        </w:rPr>
      </w:pPr>
    </w:p>
    <w:p w14:paraId="569EE308">
      <w:pPr>
        <w:spacing w:line="540" w:lineRule="exact"/>
        <w:jc w:val="center"/>
        <w:rPr>
          <w:rFonts w:hAnsi="宋体" w:eastAsia="仿宋_GB2312" w:cs="宋体"/>
          <w:kern w:val="0"/>
          <w:sz w:val="30"/>
          <w:szCs w:val="30"/>
        </w:rPr>
      </w:pPr>
    </w:p>
    <w:p w14:paraId="5C648AED">
      <w:pPr>
        <w:spacing w:line="540" w:lineRule="exact"/>
        <w:jc w:val="center"/>
        <w:rPr>
          <w:rFonts w:hAnsi="宋体" w:eastAsia="仿宋_GB2312" w:cs="宋体"/>
          <w:kern w:val="0"/>
          <w:sz w:val="30"/>
          <w:szCs w:val="30"/>
        </w:rPr>
      </w:pPr>
    </w:p>
    <w:p w14:paraId="7F9C6D47">
      <w:pPr>
        <w:spacing w:line="540" w:lineRule="exact"/>
        <w:jc w:val="center"/>
        <w:rPr>
          <w:rFonts w:hAnsi="宋体" w:eastAsia="仿宋_GB2312" w:cs="宋体"/>
          <w:kern w:val="0"/>
          <w:sz w:val="30"/>
          <w:szCs w:val="30"/>
        </w:rPr>
      </w:pPr>
    </w:p>
    <w:p w14:paraId="638774F3">
      <w:pPr>
        <w:spacing w:line="540" w:lineRule="exact"/>
        <w:jc w:val="center"/>
        <w:rPr>
          <w:rFonts w:hAnsi="宋体" w:eastAsia="仿宋_GB2312" w:cs="宋体"/>
          <w:kern w:val="0"/>
          <w:sz w:val="30"/>
          <w:szCs w:val="30"/>
        </w:rPr>
      </w:pPr>
    </w:p>
    <w:p w14:paraId="208ABFC3">
      <w:pPr>
        <w:spacing w:line="540" w:lineRule="exact"/>
        <w:rPr>
          <w:rFonts w:hAnsi="宋体" w:eastAsia="仿宋_GB2312" w:cs="宋体"/>
          <w:kern w:val="0"/>
          <w:sz w:val="30"/>
          <w:szCs w:val="30"/>
        </w:rPr>
      </w:pPr>
    </w:p>
    <w:p w14:paraId="630D7F6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CABC29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三台镇卫生院昌州财社2023（54号）--关于拨付2023年中央医疗服务与保障能力提升（医疗卫生机构能力建设）补助资金的通知</w:t>
      </w:r>
    </w:p>
    <w:p w14:paraId="03C7B9E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三台镇卫生院</w:t>
      </w:r>
    </w:p>
    <w:p w14:paraId="7A76B4D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三台镇卫生院</w:t>
      </w:r>
    </w:p>
    <w:p w14:paraId="11A7CBF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马忠业</w:t>
      </w:r>
    </w:p>
    <w:p w14:paraId="5FB8F612">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2025年03月06日</w:t>
      </w:r>
    </w:p>
    <w:p w14:paraId="32E6CCB5">
      <w:pPr>
        <w:spacing w:line="700" w:lineRule="exact"/>
        <w:ind w:firstLine="708" w:firstLineChars="236"/>
        <w:jc w:val="left"/>
        <w:rPr>
          <w:rFonts w:hAnsi="宋体" w:eastAsia="仿宋_GB2312" w:cs="宋体"/>
          <w:kern w:val="0"/>
          <w:sz w:val="30"/>
          <w:szCs w:val="30"/>
        </w:rPr>
      </w:pPr>
    </w:p>
    <w:p w14:paraId="76CE3906">
      <w:pPr>
        <w:spacing w:line="540" w:lineRule="exact"/>
        <w:rPr>
          <w:rStyle w:val="19"/>
          <w:rFonts w:ascii="黑体" w:hAnsi="黑体" w:eastAsia="黑体"/>
          <w:b w:val="0"/>
          <w:spacing w:val="-4"/>
          <w:sz w:val="32"/>
          <w:szCs w:val="32"/>
        </w:rPr>
      </w:pPr>
    </w:p>
    <w:p w14:paraId="4E39EDA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98EACB9">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5FD8323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深入贯彻落实关于推进医疗卫生体系补短板、强弱项、促提升的目标，强化乡镇卫生院服务能力，方便基层群众就近取得基本医疗卫生服务，特次拨付医疗能力提升补助资金，该资金主要用于支持前期遴选出距离县城较远，服务人口较多，诊疗条件有待提升的乡镇卫生院配置医疗设备。包括CT\DR\彩超、全自动生化分析仪等。支持配备急救设备，包括除颤仪、心电监护仪、心肺复苏仪等。提升远程医疗能力，推动与上级医院开展远程会诊、远程检查、互联网复诊等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（1）项目名称：三台镇卫生院昌州财社2023（54号）--关于拨付2023年中央医疗服务与保障能力提升（医疗卫生机构能力建设）补助资金的通知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该资金主要用于支持前期遴选出距离县城较远，服务人口较多，诊疗条件有待提升的乡镇卫生院配置医疗设备。包括CT\DR\彩超、全自动生化分析仪等。支持配备急救设备，包括除颤仪、心电监护仪、心肺复苏仪等。提升远程医疗能力，推动与上级医院开展远程会诊、远程检查、互联网复诊等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实施主体：吉木萨尔县三台镇卫生院。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截至2024年12月31日，本单位完成采购信息化设备合计7个，医院设备合计采购33个，经过设备科检验，所有设备均验收合格，按照合同款项已支付合同金额，目前设备正常运转，提升了医院的能力信息化建设，采购的医疗设备，提供了最新的检查结果，将医疗的能力能力提升，解决了居民就医困难的问题，提高了居民幸福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台镇卫生院建成于1958年，地处老台乡、庆阳湖乡两乡一镇的中心地带。三台镇拥有人口11471人，辐射两乡一镇共拥有人口约3万多人。占地面积10090㎡,业务用房4400㎡。是一所能较好开展基本医疗服务和基本公共卫生服务的非营利性的公益医疗机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内设住院部、护理部、门诊、财务科、公共卫生科、药剂科、中医馆、中医康复科等职能科室，设放射科、心超室、检验科等3个医技科室，实际开放床位50张，下设5个村卫生室。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本项目预算安排总额为200万元，资金来源为中央专项资金，其中：财政资金200万元，其他资金0万元，2024年实际收到预算资金200万元，预算资金到位率为100%。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截至2024年12月31日，本项目实际支付资金200万元，预算执行率100%。本项目资金主要用于支付信息化项目建设30万元、医疗设备采购费用170万元。</w:t>
      </w:r>
    </w:p>
    <w:p w14:paraId="2110666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EE2601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主要用于支持前期遴选出距离县城较远，服务人口较多，诊疗条件有待提升的乡镇卫生院配置医疗设备。包括CT\DR\彩超、全自动生化分析仪等。支持配备急救设备，包括除颤仪、心电监护仪、心肺复苏仪等。提升远程医疗能力，推动与上级医院开展远程会诊、远程检查、互联网复诊等项目。通过本项目的实施，提升医院的能力信息化建设，解决居民就医困难的问题，提高居民幸福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“信息化设备采购数”指标，预期指标值为“≥7个”；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“医院设备采购数”指标，预期指标值为“≥30个”；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“设备合格率”指标，预期指标值为“100%”；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“资金按照合同支付及时率”指标，预期指标值为“100%”；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“中央医疗能力提升补助资金”指标，预期指标值为“≤200万元”；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“设备正常运转率”指标，预期指标值为“100%”；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“就医人员满意度”指标，预期指标值为“≥95%”。</w:t>
      </w:r>
    </w:p>
    <w:p w14:paraId="6059058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2ED906A">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4AFEE6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三台镇卫生院昌州财社2023（54号）--关于拨付2023年中央医疗服务与保障能力提升（医疗卫生机构能力建设）补助资金的通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三台镇卫生院昌州财社2023（54号）--关于拨付2023年中央医疗服务与保障能力提升（医疗卫生机构能力建设）补助资金的通知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B78895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33FFD0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4C3F88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7F0E9C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倪秀睿（评价小组组长）：主要负责项目策划和监督，全面负责项目绩效评价报告的最终质量，对评价人员出具的最终报告质量进行复核，确保评估结果的客观性；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唐佩佩（评价小组组员）：主要负责资料的收集，取证、数据统计分析；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刘春（评价小组组员）：主要负责项目报告的制定，指标的研判，数据分析及报告撰写。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BF38CF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E3AE76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经评价，本项目达成年初设立的绩效目标，在实施过程中取得了良好的成效，具体表现在：</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卫生院合计采购信息化建设设备7个，医疗设备采购33个，已按照合同要求支付款项，通过本项目的实施，提升了医院的能力信息化建设，采购的医疗设备，提供了最新的检查结果，将医疗的能力能力提升，解决了居民就医困难的问题，提高了居民幸福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99.4分，绩效评级为“优”。综合评价结论如下：本项目共设置三级指标数量18个，实现三级指标数量17个，总体完成率为94.44%。项目决策类指标共设置6个，满分指标6个，得分率100%；过程管理类指标共设置5个，满分指标5个，得分率100%；项目产出类指标共设置5个，满分指标4个，得分率98.00%；项目效益类指标共设置1个，满分指标1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29.40 20.00 10.00 99.40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100.00% 98.00% 100.00% 100.00% 99.40%</w:t>
      </w:r>
    </w:p>
    <w:p w14:paraId="26D13956">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1464B3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859A881">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符合三台镇卫生院昌州财社2023（54号）--关于拨付2023年中央医疗服务与保障能力提升（医疗卫生机构能力建设）补助资金的通知内容；项目立项与吉木萨尔县三台镇卫生院单位“提升医疗服务与保障能力”这一部门职责范围相符，</w:t>
      </w:r>
      <w:r>
        <w:rPr>
          <w:rStyle w:val="19"/>
          <w:rFonts w:hint="eastAsia" w:ascii="楷体" w:hAnsi="楷体" w:eastAsia="楷体"/>
          <w:b w:val="0"/>
          <w:bCs w:val="0"/>
          <w:spacing w:val="-4"/>
          <w:sz w:val="32"/>
          <w:szCs w:val="32"/>
          <w:lang w:val="en-US" w:eastAsia="zh-CN"/>
        </w:rPr>
        <w:t>属于部门</w:t>
      </w:r>
      <w:r>
        <w:rPr>
          <w:rStyle w:val="19"/>
          <w:rFonts w:hint="eastAsia" w:ascii="楷体" w:hAnsi="楷体" w:eastAsia="楷体"/>
          <w:b w:val="0"/>
          <w:bCs w:val="0"/>
          <w:spacing w:val="-4"/>
          <w:sz w:val="32"/>
          <w:szCs w:val="32"/>
        </w:rPr>
        <w:t>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综上所述，本指标满分为5.0分，根据评分标准得5.0分，本项目立项依据充分。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按照规定的基本公共卫生程序申请设立；按文件三台镇卫生院昌州财社2023（54号）--关于拨付2023年中央医疗服务与保障能力提升（医疗卫生机构能力建设）补助资金的通知的资金跑项目流程，使用资金全部都是与提升医疗能力有关，资金使用流程完善，符合相关要求；事前会议决策，并在会上阐述相关目标的合理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综上所述，本指标满分为3.0分，根据评分标准得3.0分，本项目立项程序规范。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深入贯彻落实关于推进医疗卫生体系补短板、强弱项、促提升的目标，强化乡镇卫生院服务能力，方便基层群众就近取得基本医疗卫生服务，特次拨付医疗能力提升补助资金，该资金主要用于支持前期遴选出距离县城较远，服务人口较多，诊疗条件有待提升的乡镇卫生院配置医疗设备。包括CT\DR\彩超、全自动生化分析仪等。支持配备急救设备，包括除颤仪、心电监护仪、心肺复苏仪等。提升远程医疗能力，推动与上级医院开展远程会诊、远程检查、互联网复诊等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②该项目实际工作内容为：采购医疗设备以及构建信息化提升设备。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项目完成了采购医疗设备，将医疗的能力能力提升，解决了居民就医困难的问题，提高了居民幸福满意度，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④该项目批复的预算金额为200万元，《项目支出绩效目标表》中预算金额为200万元，预算确定的项目资金与预算确定的项目投资额相匹配。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7个，定性指标0个，指标量化率为100%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信息化设备采购数”“医院设备采购数”，三级指标的年度指标值与年度绩效目标中任务数一致，已设置时效指标“资金按照合同支付及时率”。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本项目三台镇卫生院昌州财社2023（54号）--关于拨付2023年中央医疗服务与保障能力提升（医疗卫生机构能力建设）补助资金的通知，即预算编制较科学且经过论证；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为提升医疗服务能力购买医疗设备及信息化建设设备，项目实际内容为为提升医疗服务能力购买医疗设备及信息化建设设备，预算申请与三台镇卫生院昌州财社2023（54号）--关于拨付2023年中央医疗服务与保障能力提升（医疗卫生机构能力建设）补助资金的通知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200万元，我单位在预算申请中严格按照项目实施内容及测算标准进行核算，其中：信息化设备采购费用30万元、医疗设备采购费用170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三台镇卫生院昌州财社2023（54号）--关于拨付2023年中央医疗服务与保障能力提升（医疗卫生机构能力建设）补助资金的通知为依据进行资金分配，预算资金分配依据充分。根据三台镇卫生院昌州财社2023（54号）--关于拨付2023年中央医疗服务与保障能力提升（医疗卫生机构能力建设）补助资金的通知，本项目实际到位资金200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6A8D88F4">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49C18E1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本项目预算资金为200万元，其中：财政安排资金200万元，其他资金0万元，实际到位资金200万元，资金到位率100%。综上所述，本指标满分为4.00分，根据评分标准得4分，本项目资金分配合理。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本项目实际支出资金200万元，预算执行率=100%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资金管理办法》、《收支业务管理制度》、《政府采购业务管理制度》、《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资金管理办法》、《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项目工作领导小组，由倪秀睿任组长，负责项目的组织工作；组员包括：唐佩佩和储心仪，主要负责负责项目的实施工作，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76FC84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1194F60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项目产出类指标由4个二级指标和5个三级指标构成，权重分30.00分，实际得分29.4分。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“信息化设备采购数”指标：预期指标值为“大于等于7个”，实际完成指标值为“等于7个”，指标完成率为100.00%。根据信息化设备采购合同显示，实际完成值为7个。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医院设备采购数”指标：预期指标值为“大于等于30个”，实际完成指标值为“33个”，指标完成率为110%。偏差原因：年初目标设置较低，该项指标完成较好产生较大偏差；改进措施：今后将从高严格设置目标，以防出现指标完成情况偏差较大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“设备合规率（%）”指标：预期指标值为“100%”，实际完成指标值为“100%”，指标完成率为100%。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“资金按照合同支付及时率”指标：预期指标值为“100%”，实际完成指标值为“100%”，指标完成率为100%。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“中央医疗能力提升补助资金”指标：预期指标值为“小于等于200万元”，实际完成指标值为“200万元”，指标完成率为100%。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903FF9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1D40BA0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项目效益类指标由1个二级指标和1个三级指标构成，权重分20.00分，实际得分20分。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“设备正常运转率”指标：预期指标值为“100%”，实际完成指标值为“100%”，指标完成率为100.00%。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综上所述，本指标满分为20分，根据评分标准得20分。</w:t>
      </w:r>
    </w:p>
    <w:p w14:paraId="30773A5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“就医人员满意度”指标：预期指标值为“大于等于95%”，实际完成指标值为“95%”，指标完成率为100%。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33D7E8B6">
      <w:pPr>
        <w:spacing w:line="540" w:lineRule="exact"/>
        <w:ind w:firstLine="567"/>
        <w:rPr>
          <w:rStyle w:val="19"/>
          <w:rFonts w:hint="eastAsia" w:ascii="楷体" w:hAnsi="楷体" w:eastAsia="楷体"/>
          <w:b w:val="0"/>
          <w:bCs w:val="0"/>
          <w:spacing w:val="-4"/>
          <w:sz w:val="32"/>
          <w:szCs w:val="32"/>
        </w:rPr>
      </w:pPr>
    </w:p>
    <w:p w14:paraId="0B88D99E">
      <w:pPr>
        <w:spacing w:line="540" w:lineRule="exact"/>
        <w:ind w:firstLine="567"/>
        <w:rPr>
          <w:rStyle w:val="19"/>
          <w:rFonts w:ascii="楷体" w:hAnsi="楷体" w:eastAsia="楷体"/>
          <w:spacing w:val="-4"/>
          <w:sz w:val="32"/>
          <w:szCs w:val="32"/>
        </w:rPr>
      </w:pPr>
    </w:p>
    <w:p w14:paraId="6A4A5D25">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07CDAB83">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在2024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年度设置医疗设备采购数的指标值时未按照设备金额预估，主要原因设备金额进行询价后按照最低价格采购，导致设备采购数量增多。下一年度在设置指标时应当充分考虑价格变动的影响，提前预防因接个变动导致指标超额预期的情况。</w:t>
      </w:r>
    </w:p>
    <w:p w14:paraId="75402AD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2E7399D8">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我单位在2024年设置数值指标时应根据以前年度情况比对进行设置，在设置三级指标的同时应考虑年底是否可以达到指标值。</w:t>
      </w:r>
    </w:p>
    <w:p w14:paraId="49F8902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9C018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386078E2">
      <w:pPr>
        <w:spacing w:line="540" w:lineRule="exact"/>
        <w:ind w:firstLine="567"/>
        <w:rPr>
          <w:rStyle w:val="19"/>
          <w:rFonts w:ascii="仿宋" w:hAnsi="仿宋" w:eastAsia="仿宋"/>
          <w:b w:val="0"/>
          <w:spacing w:val="-4"/>
          <w:sz w:val="32"/>
          <w:szCs w:val="32"/>
        </w:rPr>
      </w:pPr>
    </w:p>
    <w:p w14:paraId="596AD902">
      <w:pPr>
        <w:spacing w:line="540" w:lineRule="exact"/>
        <w:ind w:firstLine="567"/>
        <w:rPr>
          <w:rStyle w:val="19"/>
          <w:rFonts w:ascii="仿宋" w:hAnsi="仿宋" w:eastAsia="仿宋"/>
          <w:b w:val="0"/>
          <w:spacing w:val="-4"/>
          <w:sz w:val="32"/>
          <w:szCs w:val="32"/>
        </w:rPr>
      </w:pPr>
    </w:p>
    <w:p w14:paraId="4F60E480">
      <w:pPr>
        <w:spacing w:line="540" w:lineRule="exact"/>
        <w:ind w:firstLine="567"/>
        <w:rPr>
          <w:rStyle w:val="19"/>
          <w:rFonts w:ascii="仿宋" w:hAnsi="仿宋" w:eastAsia="仿宋"/>
          <w:b w:val="0"/>
          <w:spacing w:val="-4"/>
          <w:sz w:val="32"/>
          <w:szCs w:val="32"/>
        </w:rPr>
      </w:pPr>
    </w:p>
    <w:p w14:paraId="13462D46">
      <w:pPr>
        <w:spacing w:line="540" w:lineRule="exact"/>
        <w:ind w:firstLine="567"/>
        <w:rPr>
          <w:rStyle w:val="19"/>
          <w:rFonts w:ascii="仿宋" w:hAnsi="仿宋" w:eastAsia="仿宋"/>
          <w:b w:val="0"/>
          <w:spacing w:val="-4"/>
          <w:sz w:val="32"/>
          <w:szCs w:val="32"/>
        </w:rPr>
      </w:pPr>
    </w:p>
    <w:p w14:paraId="4617702B">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D9901A">
        <w:pPr>
          <w:pStyle w:val="12"/>
          <w:jc w:val="center"/>
        </w:pPr>
        <w:r>
          <w:fldChar w:fldCharType="begin"/>
        </w:r>
        <w:r>
          <w:instrText xml:space="preserve">PAGE   \* MERGEFORMAT</w:instrText>
        </w:r>
        <w:r>
          <w:fldChar w:fldCharType="separate"/>
        </w:r>
        <w:r>
          <w:rPr>
            <w:lang w:val="zh-CN"/>
          </w:rPr>
          <w:t>2</w:t>
        </w:r>
        <w:r>
          <w:fldChar w:fldCharType="end"/>
        </w:r>
      </w:p>
    </w:sdtContent>
  </w:sdt>
  <w:p w14:paraId="60C6505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74657A0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806d713f-7fdd-468e-abc5-6dc6ebe4f26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2026-08-20T04:42:24Z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