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35AAE"/>
    <w:p w14:paraId="467456C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CB81014">
      <w:pPr>
        <w:spacing w:line="540" w:lineRule="exact"/>
        <w:jc w:val="center"/>
        <w:rPr>
          <w:rFonts w:ascii="华文中宋" w:hAnsi="华文中宋" w:eastAsia="华文中宋" w:cs="宋体"/>
          <w:b/>
          <w:kern w:val="0"/>
          <w:sz w:val="52"/>
          <w:szCs w:val="52"/>
        </w:rPr>
      </w:pPr>
    </w:p>
    <w:p w14:paraId="27091A30">
      <w:pPr>
        <w:spacing w:line="540" w:lineRule="exact"/>
        <w:jc w:val="center"/>
        <w:rPr>
          <w:rFonts w:ascii="华文中宋" w:hAnsi="华文中宋" w:eastAsia="华文中宋" w:cs="宋体"/>
          <w:b/>
          <w:kern w:val="0"/>
          <w:sz w:val="52"/>
          <w:szCs w:val="52"/>
        </w:rPr>
      </w:pPr>
    </w:p>
    <w:p w14:paraId="1646724A">
      <w:pPr>
        <w:spacing w:line="540" w:lineRule="exact"/>
        <w:jc w:val="center"/>
        <w:rPr>
          <w:rFonts w:ascii="华文中宋" w:hAnsi="华文中宋" w:eastAsia="华文中宋" w:cs="宋体"/>
          <w:b/>
          <w:kern w:val="0"/>
          <w:sz w:val="52"/>
          <w:szCs w:val="52"/>
        </w:rPr>
      </w:pPr>
    </w:p>
    <w:p w14:paraId="1AE505E6">
      <w:pPr>
        <w:spacing w:line="540" w:lineRule="exact"/>
        <w:jc w:val="center"/>
        <w:rPr>
          <w:rFonts w:ascii="华文中宋" w:hAnsi="华文中宋" w:eastAsia="华文中宋" w:cs="宋体"/>
          <w:b/>
          <w:kern w:val="0"/>
          <w:sz w:val="52"/>
          <w:szCs w:val="52"/>
        </w:rPr>
      </w:pPr>
    </w:p>
    <w:p w14:paraId="4EA6392C">
      <w:pPr>
        <w:spacing w:line="540" w:lineRule="exact"/>
        <w:jc w:val="center"/>
        <w:rPr>
          <w:rFonts w:ascii="华文中宋" w:hAnsi="华文中宋" w:eastAsia="华文中宋" w:cs="宋体"/>
          <w:b/>
          <w:kern w:val="0"/>
          <w:sz w:val="52"/>
          <w:szCs w:val="52"/>
        </w:rPr>
      </w:pPr>
    </w:p>
    <w:p w14:paraId="2C82864B">
      <w:pPr>
        <w:spacing w:line="540" w:lineRule="exact"/>
        <w:jc w:val="center"/>
        <w:rPr>
          <w:rFonts w:ascii="华文中宋" w:hAnsi="华文中宋" w:eastAsia="华文中宋" w:cs="宋体"/>
          <w:b/>
          <w:kern w:val="0"/>
          <w:sz w:val="52"/>
          <w:szCs w:val="52"/>
        </w:rPr>
      </w:pPr>
    </w:p>
    <w:p w14:paraId="323F80C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8074383">
      <w:pPr>
        <w:spacing w:line="540" w:lineRule="exact"/>
        <w:jc w:val="center"/>
        <w:rPr>
          <w:rFonts w:ascii="华文中宋" w:hAnsi="华文中宋" w:eastAsia="华文中宋" w:cs="宋体"/>
          <w:b/>
          <w:kern w:val="0"/>
          <w:sz w:val="52"/>
          <w:szCs w:val="52"/>
        </w:rPr>
      </w:pPr>
    </w:p>
    <w:p w14:paraId="0E645B5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88D196B">
      <w:pPr>
        <w:spacing w:line="540" w:lineRule="exact"/>
        <w:jc w:val="center"/>
        <w:rPr>
          <w:rFonts w:hAnsi="宋体" w:eastAsia="仿宋_GB2312" w:cs="宋体"/>
          <w:kern w:val="0"/>
          <w:sz w:val="30"/>
          <w:szCs w:val="30"/>
        </w:rPr>
      </w:pPr>
    </w:p>
    <w:p w14:paraId="4978A36E">
      <w:pPr>
        <w:spacing w:line="540" w:lineRule="exact"/>
        <w:jc w:val="center"/>
        <w:rPr>
          <w:rFonts w:hAnsi="宋体" w:eastAsia="仿宋_GB2312" w:cs="宋体"/>
          <w:kern w:val="0"/>
          <w:sz w:val="30"/>
          <w:szCs w:val="30"/>
        </w:rPr>
      </w:pPr>
    </w:p>
    <w:p w14:paraId="532AB7D7">
      <w:pPr>
        <w:spacing w:line="540" w:lineRule="exact"/>
        <w:jc w:val="center"/>
        <w:rPr>
          <w:rFonts w:hAnsi="宋体" w:eastAsia="仿宋_GB2312" w:cs="宋体"/>
          <w:kern w:val="0"/>
          <w:sz w:val="30"/>
          <w:szCs w:val="30"/>
        </w:rPr>
      </w:pPr>
    </w:p>
    <w:p w14:paraId="43907E0F">
      <w:pPr>
        <w:spacing w:line="540" w:lineRule="exact"/>
        <w:jc w:val="center"/>
        <w:rPr>
          <w:rFonts w:hAnsi="宋体" w:eastAsia="仿宋_GB2312" w:cs="宋体"/>
          <w:kern w:val="0"/>
          <w:sz w:val="30"/>
          <w:szCs w:val="30"/>
        </w:rPr>
      </w:pPr>
    </w:p>
    <w:p w14:paraId="26DAB21A">
      <w:pPr>
        <w:spacing w:line="540" w:lineRule="exact"/>
        <w:jc w:val="center"/>
        <w:rPr>
          <w:rFonts w:hAnsi="宋体" w:eastAsia="仿宋_GB2312" w:cs="宋体"/>
          <w:kern w:val="0"/>
          <w:sz w:val="30"/>
          <w:szCs w:val="30"/>
        </w:rPr>
      </w:pPr>
    </w:p>
    <w:p w14:paraId="62533262">
      <w:pPr>
        <w:spacing w:line="540" w:lineRule="exact"/>
        <w:jc w:val="center"/>
        <w:rPr>
          <w:rFonts w:hAnsi="宋体" w:eastAsia="仿宋_GB2312" w:cs="宋体"/>
          <w:kern w:val="0"/>
          <w:sz w:val="30"/>
          <w:szCs w:val="30"/>
        </w:rPr>
      </w:pPr>
    </w:p>
    <w:p w14:paraId="4E449C55">
      <w:pPr>
        <w:spacing w:line="540" w:lineRule="exact"/>
        <w:rPr>
          <w:rFonts w:hAnsi="宋体" w:eastAsia="仿宋_GB2312" w:cs="宋体"/>
          <w:kern w:val="0"/>
          <w:sz w:val="30"/>
          <w:szCs w:val="30"/>
        </w:rPr>
      </w:pPr>
    </w:p>
    <w:p w14:paraId="22E214B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29896A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吉木萨尔北三台循环经济工业园化工产业集中区安全风险等级提升项目</w:t>
      </w:r>
    </w:p>
    <w:p w14:paraId="2B4948A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吉木萨尔县工业园区管理</w:t>
      </w:r>
      <w:r>
        <w:rPr>
          <w:rStyle w:val="19"/>
          <w:rFonts w:hint="eastAsia" w:ascii="楷体" w:hAnsi="楷体" w:eastAsia="楷体"/>
          <w:spacing w:val="-4"/>
          <w:sz w:val="28"/>
          <w:szCs w:val="28"/>
          <w:lang w:val="en-US" w:eastAsia="zh-CN"/>
        </w:rPr>
        <w:t>委员会</w:t>
      </w:r>
    </w:p>
    <w:p w14:paraId="4E263B0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吉木萨尔县工业园区管理</w:t>
      </w:r>
      <w:r>
        <w:rPr>
          <w:rStyle w:val="19"/>
          <w:rFonts w:hint="eastAsia" w:ascii="楷体" w:hAnsi="楷体" w:eastAsia="楷体"/>
          <w:spacing w:val="-4"/>
          <w:sz w:val="28"/>
          <w:szCs w:val="28"/>
          <w:lang w:val="en-US" w:eastAsia="zh-CN"/>
        </w:rPr>
        <w:t>委员会</w:t>
      </w:r>
    </w:p>
    <w:p w14:paraId="621ED9E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徐立环</w:t>
      </w:r>
    </w:p>
    <w:p w14:paraId="0230F895">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2025年03月25日</w:t>
      </w:r>
    </w:p>
    <w:p w14:paraId="528311C7">
      <w:pPr>
        <w:spacing w:line="700" w:lineRule="exact"/>
        <w:ind w:firstLine="708" w:firstLineChars="236"/>
        <w:jc w:val="left"/>
        <w:rPr>
          <w:rFonts w:hAnsi="宋体" w:eastAsia="仿宋_GB2312" w:cs="宋体"/>
          <w:kern w:val="0"/>
          <w:sz w:val="30"/>
          <w:szCs w:val="30"/>
        </w:rPr>
      </w:pPr>
    </w:p>
    <w:p w14:paraId="24E6FD3B">
      <w:pPr>
        <w:spacing w:line="540" w:lineRule="exact"/>
        <w:rPr>
          <w:rStyle w:val="19"/>
          <w:rFonts w:ascii="黑体" w:hAnsi="黑体" w:eastAsia="黑体"/>
          <w:b w:val="0"/>
          <w:spacing w:val="-4"/>
          <w:sz w:val="32"/>
          <w:szCs w:val="32"/>
        </w:rPr>
      </w:pPr>
    </w:p>
    <w:p w14:paraId="4701F64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7548F022">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34951A8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吉木萨尔北三台循环经济工业园化工产业集中区存在未实现全封闭的问题，根据《化工产业集中区安全风险排查治理导则》，为了提高化工园区整体管理水平，解决人员车辆随意出入、园内放牧等问题，特设立本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（1）项目名称：吉木萨尔北三台循环经济工业园化工产业集中区安全风险等级提升项目（以下简称“该项目”或“项目”）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（2）项目主要内容：完善安全风险智能化管控平台5大模块功能；安装车辆道闸、机枪、球机等智能等监控设施；安装监控、道闸等设施；对现有安全风险智能化管控平台进行升级改造。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实施主体：山东省邮电工程有限公司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实施时间：本项目实施周期为2024年10月-2024年12月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实施情况：该项目经正常招标流程，确定施工单位，按照设计方案，有序组织施工人员进场施工，根据合同约定，项目如期完工，经过验收，已正式投入使用，该项目主要完成了对化工园区硬隔离围挡，安装监控、道闸等设施设备，规范了车辆和人员的进出，有效填补了化工园区人员车辆管理空白，显著提升了化工园区整体性管理水平，降低了安全风险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（一）贯彻落实国家、区、州、县人民政府各项方针、政策，研究制定园区经济和社会发展规划、管理办法、相关配套优惠政策，经县人民政府批准后，负责组织实施。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（二）凡园区在发展过程中涉及行政审批事项，按照“政府委托、园区办理、部门备案”的运作模式，由相关职能部门依法委托或授权园区管委会办理，如不能委托或授权的，由相关部门限期办理。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（三）负责对园区入驻企业进行宏观指导、管理、组织、协调，贯彻国家、区、州、县产业政策、技术革新等项工作，维护园区企业的合法权益。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（四）负责园区的招商引资、对外经济技术合作工作，按规定权限和程序管理园区的投资项目；负责签约、意向项目的跟踪服务工作。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（五）根据县人民政府总体规划和土地利用规划，依法进行园区管委会土地的开发和利用工作。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（六）负责园区基础设施、公共设施建设和公益事业。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（七）为园区管理的企业及项目全程代办立项、规划、建设、国土、环保等方面的手续。协助有关部门做好工商管理、质量监督、安全生产等各项工作。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（八）负责规划协调外引内联企业的综合服务；负责协调管理有关部门在园区的派驻机构及工作人员，协助做好社会服务、就业管理、劳务纠纷等工作。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（九）承办县委、县人民政府交办的其他工作。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吉木萨尔北庭工业园区管理</w:t>
      </w:r>
      <w:r>
        <w:rPr>
          <w:rStyle w:val="19"/>
          <w:rFonts w:hint="eastAsia" w:ascii="楷体" w:hAnsi="楷体" w:eastAsia="楷体"/>
          <w:b w:val="0"/>
          <w:bCs w:val="0"/>
          <w:spacing w:val="-4"/>
          <w:sz w:val="32"/>
          <w:szCs w:val="32"/>
          <w:lang w:val="en-US" w:eastAsia="zh-CN"/>
        </w:rPr>
        <w:t>委员会</w:t>
      </w:r>
      <w:r>
        <w:rPr>
          <w:rStyle w:val="19"/>
          <w:rFonts w:hint="eastAsia" w:ascii="楷体" w:hAnsi="楷体" w:eastAsia="楷体"/>
          <w:b w:val="0"/>
          <w:bCs w:val="0"/>
          <w:spacing w:val="-4"/>
          <w:sz w:val="32"/>
          <w:szCs w:val="32"/>
        </w:rPr>
        <w:t>无下属预算单位，下设4个科室，分别是：综合办公室、产业发展局、规划建设环保局、安全生产监督局。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本项目预算安排总额为305.70万元，资金来源为一般公共预算资金。其中：财政资金305.70万元，2024年实际收到预算资金152.84万元，预算资金到位率为50%。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截至2024年12月31日，本项目实际支付资金152.84万元，预算执行率100%。本项目资金主要用于支付施工及调试安装费用41万元，设备费用21万元，平台定制及部署费用90.84万元。</w:t>
      </w:r>
    </w:p>
    <w:p w14:paraId="2FAB5B1D">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5B06F3D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实施本项目，完善安全风险智能化管控平台安全基础管理、重大危险源管理、双重预防机制、封闭化管理、敏捷应急5部分模块功能；安装车道道闸、枪机、球机等智能监控设施；在北三台工业园区化工产业集中区安装监控、道闸等设施；对现有安全风险智能化管控平台进行升级改造。显著提升了化工园区整体性管理水平，降低了安全风险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“涉及项目个数”指标，预期指标值为“等于1个”；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“已完成工程量合格率”指标，预期指标值为“等于100%”；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“资金拨付及时率”指标，预期指标值为“等于100%”；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“项目工程进度款”指标，预期指标值为“等于152.84万元”；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“项目预算控制率”指标，预期指标值为“等于100%”；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“促进园区基础设施建设”指标，预期指标值为“有效促进”；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“完善管控平台升级改造”指标，预期指标值为“有效完善”；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“受益企业满意度”指标，预期指标值为“大于等于95%”。</w:t>
      </w:r>
    </w:p>
    <w:p w14:paraId="1D24B50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7B86C183">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FB7456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北三台循环经济工业园化工产业集中区安全风险等级提升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吉木萨尔北三台循环经济工业园化工产业集中区安全风险等级提升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458A3FFC">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2E6DB40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w:t>
      </w:r>
      <w:bookmarkStart w:id="0" w:name="_GoBack"/>
      <w:bookmarkEnd w:id="0"/>
      <w:r>
        <w:rPr>
          <w:rStyle w:val="19"/>
          <w:rFonts w:hint="eastAsia" w:ascii="楷体" w:hAnsi="楷体" w:eastAsia="楷体"/>
          <w:b w:val="0"/>
          <w:bCs w:val="0"/>
          <w:spacing w:val="-4"/>
          <w:sz w:val="32"/>
          <w:szCs w:val="32"/>
        </w:rPr>
        <w:t>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4880E8A">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10C4042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薛超：主要负责项目策划和监督，全面负责项目绩效评价报告的最终质量，对评价人员出具的最终报告质量进行复核，确保评估结果的客观性；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李超（评价小组组员）：主要负责资料的收集，取证、数据统计分析；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张娟娟（评价小组组员）：主要负责项目报告的制定，指标的研判，数据分析及报告撰写。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3A7C1B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74390C9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通过本项目实施，完善安全风险智能化管控平台安全基础管理、重大危险源管理、双重预防机制、封闭化管理、敏捷应急5部分模块功能；安装车道道闸、枪机、球机等智能监控设施；在北三台工业园区化工产业集中区安装监控、道闸等设施；对现有安全风险智能化管控平台进行升级改造。提高了化工园区管理水平。但是在实施过程中也存在封闭围挡不完全，标识标牌固定不牢靠等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96分，绩效评级为“优秀”。综合评价结论如下：本项目共设置三级指标数量19个，实现三级指标数量18个，总体完成率为97.37%。项目决策类指标共设置6个，满分指标6个，得分率100%；过程管理类指标共设置5个，满分指标4个，得分率78.95%；项目产出类指标共设置5个，满分指标5个，得分率100%；项目效益类指标共设置2个，满分指标2个，得分率100%；项目满意度类指标共设置1个，满分指标1个，得分率100%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15.00 30.00 20.00 10.00 96.00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 78.95% 90% 100% 100% 96%</w:t>
      </w:r>
    </w:p>
    <w:p w14:paraId="5092EEE4">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5649A35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2FD5201C">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应急管理部颁发的《化工园区安全风险排查治理导则》（应急〔2023〕123号）中：“化工园区实行封闭化管理，建立完善门禁系统和视频监控系统，利用信息化平台、视频监控、在线监测预警等技术手段，实现人员、车辆及物料进出全过程动态监管”；本项目立项符合《吉木萨尔北庭工业园区配置内设机构和人员编制规定》中职责范围中的“贯彻执行应急管理、安全生产方针政策、法律法规及工作部署，配合应急管理部门抓好园区应急管理工作”，属于我单位履职所需；根据《财政资金直接支付申请书》，本项目资金性质为“公共财政预算”功能分类为“2120201城乡社区规划与管理”经济分类为“30905基础设施建设”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根据应急管理部颁发的《化工园区安全风险排查治理导则》（应急〔2023〕123号）文件要求，我单位上报《关于上报吉木萨尔北三台循环经济工业园化工产业集中区安全风险等级提升项目的请示》（吉北管委字〔2024〕85号），经吉木萨尔县发展和改革委员会审核，下发《吉木萨尔县发展改革委关于吉木萨尔北三台循环经济工业园化工产业集中区安全风险等级提升项目可行性研究报告的批复》（吉县发改〔2024〕298号）批复文件，本项目正式设立。经查看，该项目立项过程产生的相关文件，符合相关要求。已委托中讯邮电咨询设计院有限公司编制《吉木萨尔县北三台循环经济工业园化工产业集中区安全风险等级提升项目可行性研究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本项目主要实施内容为：吉木萨尔北三台循环经济工业园化工产业集中区安全风险等级提升项目，项目总投资为152.84万元。通过本项目实施，完善安全风险智能化管控平台安全基础管理、重大危险源管理、双重预防机制、封闭化管理、敏捷应急5部分模块功能；安装车道道闸、枪机、球机等智能监控设施；在北三台工业园区化工产业集中区安装监控、道闸等设施；对现有安全风险智能化管控平台进行升级改造。待项目完成，争取使受益企业满意度不低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完善安全风险智能化管控平台安全基础管理、重大危险源管理、双重预防机制、封闭化管理、敏捷应急5部分模块功能；安装车道道闸、枪机、球机等智能监控设施；在北三台工业园区化工产业集中区安装监控、道闸等设施；对现有安全风险智能化管控平台进行升级改造。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已基本完善安全风险智能化管控平台安全基础管理、重大危险源管理、双重预防机制、封闭化管理、敏捷应急5部分模块功能；安装了车道道闸、枪机、球机等智能监控设施；在北三台工业园区化工产业集中区安装了监控、道闸等设施；对现有安全风险智能化管控平台进行了升级改造。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④该项目批复的预算金额为152.84万元，《项目支出绩效目标表》中预算金额为152.84万元，预算确定的项目资金与预算确定的项目投资额相匹配。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8个，三级指标8个，定量指标6个，定性指标2个，指标量化率为75.00%，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涉及项目个数，三级指标的年度指标值与年度绩效目标中任务数一致已设置的绩效目标具备明确性、可衡量性、可实现性、相关性，但是时限性存在不能反映项目实施时间，扣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综上所述，本指标满分为3.00分，根据评分标准得2.00分，本项目所设置绩效指标明确。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委托中讯邮电咨询设计院有限公司编制《吉木萨尔县北三台循环经济工业园化工产业集中区安全风险等级提升项目可行性研究报告》，对项目的实施必要性以及未来产出效果做了科学论证分析，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完善安全风险智能化管控平台5大模块功能；安装车辆道闸、机枪、球机等智能等监控设施；安装监控、道闸等设施；对现有安全风险智能化管控平台进行升级改造，项目实际内容为完善安全风险智能化管控平台5大模块功能；安装车辆道闸、机枪、球机等智能等监控设施；安装监控、道闸等设施；对现有安全风险智能化管控平台进行升级改造，预算申请与《关于上报吉木萨尔北三台循环经济工业园化工产业集中区安全风险等级提升项目的请示》（吉北管委字〔2024〕85号）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305.695125万元，我单位在预算申请中严格按照项目实施内容及测算标准进行核算，其中：安全文明施工费用0.215106万元、施工及调试安装费用79.386046万元、设备费用38.196273万元，平台定制及部署费用178.0977万元，暂列金9.8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吉木萨尔北三台循环经济工业园化工产业集中区安全风险等级提升项目合同为依据进行资金分配，预算资金分配依据充分。本项目实际到位资金152.94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综上所述，本指标满分为2.00分，根据评分标准得2.00分，本项目资金分配合理。</w:t>
      </w:r>
      <w:r>
        <w:rPr>
          <w:rStyle w:val="19"/>
          <w:rFonts w:hint="eastAsia" w:ascii="楷体" w:hAnsi="楷体" w:eastAsia="楷体"/>
          <w:b w:val="0"/>
          <w:bCs w:val="0"/>
          <w:spacing w:val="-4"/>
          <w:sz w:val="32"/>
          <w:szCs w:val="32"/>
        </w:rPr>
        <w:tab/>
      </w:r>
    </w:p>
    <w:p w14:paraId="09FD7269">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05EBEC7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项目过程管理类指标由2个二级指标和5个三级指标构成，权重分19.00分，实际得分19.00分。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本项目预算资金为305.695125万元，其中：财政安排资金305.695125万元，实际到位资金152.84万元，资金到位率=（实际到位资金/预算资金）×100.00%=50%。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综上所述，本指标满分为4.00分，根据评分标准得0.00分，本项目资金未按需求全部到位。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本项目实际支出资金152.84万元，预算执行率=（实际支出资金/实际到位资金）×100.00%=100%；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得分=（实际完成率-60.00%）/（1-60.00%）×权重==5.00分。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吉木萨尔北庭工业园区财务管理制度》，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我单位已制定《吉木萨尔北庭工业园区财务管理制度》上述已建立的制度均符合行政事业单位内控管理要求，财务和业务管理制度合法、合规、完整，本项目执行符合上述制度规定。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吉木萨尔北庭工业园区财务管理制度》等相关法律法规及管理规定，项目具备完整规范的立项程序；经查证项目实施过程资料，项目验收等过程均按照合同管理办法等相关制度执行，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吉木萨尔北三台循环经济工业园化工产业集中区安全风险等级提升项目工作领导小组。由薛超任组长，负责项目的组织工作；富建任副组长，负责项目的实施工作；组员包括：布威麦尔耶姆，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综上所述，本指标满分为4.00分，根据评分标准得4.00分，本项目所建立制度执行有效。</w:t>
      </w:r>
    </w:p>
    <w:p w14:paraId="2846F1A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1A8F112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项目产出类指标由4个二级指标和5个三级指标构成，权重分30.00分，实际得分30.00分。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“涉及项目个数”指标：预期指标值为“等于1个”，实际完成指标值为“等于1个”，指标完成率为100.00%。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综上所述，本指标满分为7分，根据评分标准得7分。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“已完成工程量合格率”指标：预期指标值为“等于100%”，实际完成指标值为“=100%”，指标完成率为100%。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综上所述，本指标满分为7分，根据评分标准得7分。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“资金拨付及时率”指标：预期指标值为“等于100%”，实际完成指标值为“等于100%”，指标完成率为100%。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综上所述，本指标满分为6.00分，根据评分标准得6.00分。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“项目工程进度款”指标：预期指标值为“等于152.84万元”，实际完成指标值为“等于152.84万元”，指标完成率为100%。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综上所述，本指标满分为7分，根据评分标准得7分。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“项目预算控制率”指标：预期指标值为“等于100%”，实际完成指标值为“等于100%”，指标完成率为100%。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综上所述，本指标满分为3分，根据评分标准得3分。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4F8BC93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23ED32D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项目效益类指标由2个二级指标和2个三级指标构成，权重分20.00分，实际得分20分。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“促进园区基础设施建设”指标：预期指标值为“有效促进”，实际完成指标值为“有效促进”，指标完成率为100%。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“完善管控平台升级改造”指标：预期指标值为“有效完善”，实际完成指标值为“有效完善”，指标完成率为100.00%。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75C329F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“受益企业满意度”指标：预期指标值为“大于等于95%”，实际完成指标值为“等于95%”，指标完成率为100%。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p>
    <w:p w14:paraId="3324B391">
      <w:pPr>
        <w:spacing w:line="540" w:lineRule="exact"/>
        <w:ind w:firstLine="567"/>
        <w:rPr>
          <w:rStyle w:val="19"/>
          <w:rFonts w:hint="eastAsia" w:ascii="楷体" w:hAnsi="楷体" w:eastAsia="楷体"/>
          <w:b w:val="0"/>
          <w:bCs w:val="0"/>
          <w:spacing w:val="-4"/>
          <w:sz w:val="32"/>
          <w:szCs w:val="32"/>
        </w:rPr>
      </w:pPr>
    </w:p>
    <w:p w14:paraId="6509DD49">
      <w:pPr>
        <w:spacing w:line="540" w:lineRule="exact"/>
        <w:ind w:firstLine="567"/>
        <w:rPr>
          <w:rStyle w:val="19"/>
          <w:rFonts w:ascii="楷体" w:hAnsi="楷体" w:eastAsia="楷体"/>
          <w:spacing w:val="-4"/>
          <w:sz w:val="32"/>
          <w:szCs w:val="32"/>
        </w:rPr>
      </w:pPr>
    </w:p>
    <w:p w14:paraId="57208DCE">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7CC7EB79">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通过加强项目的现场管理以及项目资金的支付管理，既能够保证项目工程按期完工，又能够保障项目资金及时到位，而且还可以保证农民工工资支付到位，保障了企业和个人的权益不受损。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绩效管理意识淡薄，单位自身缺乏配套的绩效。目前评价制度尚未牢固树立，重投入轻管理、重支出轻绩效，忽略财政资金的具体使用效果，很少根据自身情况制定配套的预算绩效评价制度，预算管理机制不健全，执行不够严格，绩效管理的广度和深度不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二是财务部门和业务部门相分离，人才队伍建设有待加强。绩效评价的归口管理部门一般是财务部门，其他业务部门参与程度不高，影响绩效评价效果体现。</w:t>
      </w:r>
    </w:p>
    <w:p w14:paraId="61AA382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6379BBAD">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一是树立全员绩效管理意识，健全绩效管理制度。预算单位是具体实施预算绩效管理的责任主体，单位主要负责人应提高思想认识，成立绩效评价工作领导小组，及时矫正不规范行为，明确职责和权限，促进各项工作流程良性循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探索业务和财务相融合的工作模式，培养专业人才队伍。财务人员应积极参与财政部门的业务培训，不断学习预算绩效管理方面的新制度新要求、财政预算绩效管理信息系统填报方法，还要不断加强与单位业务科室的联系，参与业务学习，既要懂财务，又要懂业务。</w:t>
      </w:r>
    </w:p>
    <w:p w14:paraId="05F54BA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17AA2BD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7D8E4644">
      <w:pPr>
        <w:spacing w:line="540" w:lineRule="exact"/>
        <w:ind w:firstLine="567"/>
        <w:rPr>
          <w:rStyle w:val="19"/>
          <w:rFonts w:ascii="仿宋" w:hAnsi="仿宋" w:eastAsia="仿宋"/>
          <w:b w:val="0"/>
          <w:spacing w:val="-4"/>
          <w:sz w:val="32"/>
          <w:szCs w:val="32"/>
        </w:rPr>
      </w:pPr>
    </w:p>
    <w:p w14:paraId="15AD2F9A">
      <w:pPr>
        <w:spacing w:line="540" w:lineRule="exact"/>
        <w:ind w:firstLine="567"/>
        <w:rPr>
          <w:rStyle w:val="19"/>
          <w:rFonts w:ascii="仿宋" w:hAnsi="仿宋" w:eastAsia="仿宋"/>
          <w:b w:val="0"/>
          <w:spacing w:val="-4"/>
          <w:sz w:val="32"/>
          <w:szCs w:val="32"/>
        </w:rPr>
      </w:pPr>
    </w:p>
    <w:p w14:paraId="1664EBBD">
      <w:pPr>
        <w:spacing w:line="540" w:lineRule="exact"/>
        <w:ind w:firstLine="567"/>
        <w:rPr>
          <w:rStyle w:val="19"/>
          <w:rFonts w:ascii="仿宋" w:hAnsi="仿宋" w:eastAsia="仿宋"/>
          <w:b w:val="0"/>
          <w:spacing w:val="-4"/>
          <w:sz w:val="32"/>
          <w:szCs w:val="32"/>
        </w:rPr>
      </w:pPr>
    </w:p>
    <w:p w14:paraId="5E1F3B90">
      <w:pPr>
        <w:spacing w:line="540" w:lineRule="exact"/>
        <w:ind w:firstLine="567"/>
        <w:rPr>
          <w:rStyle w:val="19"/>
          <w:rFonts w:ascii="仿宋" w:hAnsi="仿宋" w:eastAsia="仿宋"/>
          <w:b w:val="0"/>
          <w:spacing w:val="-4"/>
          <w:sz w:val="32"/>
          <w:szCs w:val="32"/>
        </w:rPr>
      </w:pPr>
    </w:p>
    <w:p w14:paraId="4F004F81">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85417A0">
        <w:pPr>
          <w:pStyle w:val="12"/>
          <w:jc w:val="center"/>
        </w:pPr>
        <w:r>
          <w:fldChar w:fldCharType="begin"/>
        </w:r>
        <w:r>
          <w:instrText xml:space="preserve">PAGE   \* MERGEFORMAT</w:instrText>
        </w:r>
        <w:r>
          <w:fldChar w:fldCharType="separate"/>
        </w:r>
        <w:r>
          <w:rPr>
            <w:lang w:val="zh-CN"/>
          </w:rPr>
          <w:t>2</w:t>
        </w:r>
        <w:r>
          <w:fldChar w:fldCharType="end"/>
        </w:r>
      </w:p>
    </w:sdtContent>
  </w:sdt>
  <w:p w14:paraId="148E476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DB365A"/>
    <w:multiLevelType w:val="singleLevel"/>
    <w:tmpl w:val="1BDB365A"/>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60CC292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bd694a47-55b8-45d0-83d8-462363ae7dab}">
  <ds:schemaRefs/>
</ds:datastoreItem>
</file>

<file path=docProps/app.xml><?xml version="1.0" encoding="utf-8"?>
<Properties xmlns="http://schemas.openxmlformats.org/officeDocument/2006/extended-properties" xmlns:vt="http://schemas.openxmlformats.org/officeDocument/2006/docPropsVTypes">
  <Template>Normal.dotm</Template>
  <Pages>25</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2026-08-20T04:43:50Z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