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A093"/>
    <w:p w14:paraId="1A92C84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407015C">
      <w:pPr>
        <w:spacing w:line="540" w:lineRule="exact"/>
        <w:jc w:val="center"/>
        <w:rPr>
          <w:rFonts w:ascii="华文中宋" w:hAnsi="华文中宋" w:eastAsia="华文中宋" w:cs="宋体"/>
          <w:b/>
          <w:kern w:val="0"/>
          <w:sz w:val="52"/>
          <w:szCs w:val="52"/>
        </w:rPr>
      </w:pPr>
    </w:p>
    <w:p w14:paraId="78EC1245">
      <w:pPr>
        <w:spacing w:line="540" w:lineRule="exact"/>
        <w:jc w:val="center"/>
        <w:rPr>
          <w:rFonts w:ascii="华文中宋" w:hAnsi="华文中宋" w:eastAsia="华文中宋" w:cs="宋体"/>
          <w:b/>
          <w:kern w:val="0"/>
          <w:sz w:val="52"/>
          <w:szCs w:val="52"/>
        </w:rPr>
      </w:pPr>
    </w:p>
    <w:p w14:paraId="3DB3EF8F">
      <w:pPr>
        <w:spacing w:line="540" w:lineRule="exact"/>
        <w:jc w:val="center"/>
        <w:rPr>
          <w:rFonts w:ascii="华文中宋" w:hAnsi="华文中宋" w:eastAsia="华文中宋" w:cs="宋体"/>
          <w:b/>
          <w:kern w:val="0"/>
          <w:sz w:val="52"/>
          <w:szCs w:val="52"/>
        </w:rPr>
      </w:pPr>
    </w:p>
    <w:p w14:paraId="7A2F1D07">
      <w:pPr>
        <w:spacing w:line="540" w:lineRule="exact"/>
        <w:jc w:val="center"/>
        <w:rPr>
          <w:rFonts w:ascii="华文中宋" w:hAnsi="华文中宋" w:eastAsia="华文中宋" w:cs="宋体"/>
          <w:b/>
          <w:kern w:val="0"/>
          <w:sz w:val="52"/>
          <w:szCs w:val="52"/>
        </w:rPr>
      </w:pPr>
    </w:p>
    <w:p w14:paraId="24A895C1">
      <w:pPr>
        <w:spacing w:line="540" w:lineRule="exact"/>
        <w:jc w:val="center"/>
        <w:rPr>
          <w:rFonts w:ascii="华文中宋" w:hAnsi="华文中宋" w:eastAsia="华文中宋" w:cs="宋体"/>
          <w:b/>
          <w:kern w:val="0"/>
          <w:sz w:val="52"/>
          <w:szCs w:val="52"/>
        </w:rPr>
      </w:pPr>
    </w:p>
    <w:p w14:paraId="064924D9">
      <w:pPr>
        <w:spacing w:line="540" w:lineRule="exact"/>
        <w:jc w:val="center"/>
        <w:rPr>
          <w:rFonts w:ascii="华文中宋" w:hAnsi="华文中宋" w:eastAsia="华文中宋" w:cs="宋体"/>
          <w:b/>
          <w:kern w:val="0"/>
          <w:sz w:val="52"/>
          <w:szCs w:val="52"/>
        </w:rPr>
      </w:pPr>
    </w:p>
    <w:p w14:paraId="49DA83D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2008079">
      <w:pPr>
        <w:spacing w:line="540" w:lineRule="exact"/>
        <w:jc w:val="center"/>
        <w:rPr>
          <w:rFonts w:ascii="华文中宋" w:hAnsi="华文中宋" w:eastAsia="华文中宋" w:cs="宋体"/>
          <w:b/>
          <w:kern w:val="0"/>
          <w:sz w:val="52"/>
          <w:szCs w:val="52"/>
        </w:rPr>
      </w:pPr>
    </w:p>
    <w:p w14:paraId="68227D5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6D6E4ED">
      <w:pPr>
        <w:spacing w:line="540" w:lineRule="exact"/>
        <w:jc w:val="center"/>
        <w:rPr>
          <w:rFonts w:hAnsi="宋体" w:eastAsia="仿宋_GB2312" w:cs="宋体"/>
          <w:kern w:val="0"/>
          <w:sz w:val="30"/>
          <w:szCs w:val="30"/>
        </w:rPr>
      </w:pPr>
    </w:p>
    <w:p w14:paraId="50B758B5">
      <w:pPr>
        <w:spacing w:line="540" w:lineRule="exact"/>
        <w:jc w:val="center"/>
        <w:rPr>
          <w:rFonts w:hAnsi="宋体" w:eastAsia="仿宋_GB2312" w:cs="宋体"/>
          <w:kern w:val="0"/>
          <w:sz w:val="30"/>
          <w:szCs w:val="30"/>
        </w:rPr>
      </w:pPr>
    </w:p>
    <w:p w14:paraId="55F3BE2D">
      <w:pPr>
        <w:spacing w:line="540" w:lineRule="exact"/>
        <w:jc w:val="center"/>
        <w:rPr>
          <w:rFonts w:hAnsi="宋体" w:eastAsia="仿宋_GB2312" w:cs="宋体"/>
          <w:kern w:val="0"/>
          <w:sz w:val="30"/>
          <w:szCs w:val="30"/>
        </w:rPr>
      </w:pPr>
    </w:p>
    <w:p w14:paraId="15D12C0B">
      <w:pPr>
        <w:spacing w:line="540" w:lineRule="exact"/>
        <w:jc w:val="center"/>
        <w:rPr>
          <w:rFonts w:hAnsi="宋体" w:eastAsia="仿宋_GB2312" w:cs="宋体"/>
          <w:kern w:val="0"/>
          <w:sz w:val="30"/>
          <w:szCs w:val="30"/>
        </w:rPr>
      </w:pPr>
    </w:p>
    <w:p w14:paraId="211AA17A">
      <w:pPr>
        <w:spacing w:line="540" w:lineRule="exact"/>
        <w:jc w:val="center"/>
        <w:rPr>
          <w:rFonts w:hAnsi="宋体" w:eastAsia="仿宋_GB2312" w:cs="宋体"/>
          <w:kern w:val="0"/>
          <w:sz w:val="30"/>
          <w:szCs w:val="30"/>
        </w:rPr>
      </w:pPr>
    </w:p>
    <w:p w14:paraId="37DC861E">
      <w:pPr>
        <w:spacing w:line="540" w:lineRule="exact"/>
        <w:jc w:val="center"/>
        <w:rPr>
          <w:rFonts w:hAnsi="宋体" w:eastAsia="仿宋_GB2312" w:cs="宋体"/>
          <w:kern w:val="0"/>
          <w:sz w:val="30"/>
          <w:szCs w:val="30"/>
        </w:rPr>
      </w:pPr>
    </w:p>
    <w:p w14:paraId="5396C697">
      <w:pPr>
        <w:spacing w:line="540" w:lineRule="exact"/>
        <w:rPr>
          <w:rFonts w:hAnsi="宋体" w:eastAsia="仿宋_GB2312" w:cs="宋体"/>
          <w:kern w:val="0"/>
          <w:sz w:val="30"/>
          <w:szCs w:val="30"/>
        </w:rPr>
      </w:pPr>
    </w:p>
    <w:p w14:paraId="661B08C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FF3834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中职昌州财教【2023】103号关于提前下达2024年中央现代职业教育质量提升计划资金预算的通知</w:t>
      </w:r>
    </w:p>
    <w:p w14:paraId="28A2538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吉木萨尔中等职业技术学校</w:t>
      </w:r>
    </w:p>
    <w:p w14:paraId="6C0EE02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吉木萨尔中等职业技术学校</w:t>
      </w:r>
    </w:p>
    <w:p w14:paraId="1162A49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王炜黎</w:t>
      </w:r>
    </w:p>
    <w:p w14:paraId="79B5DD6B">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2025年03月12日</w:t>
      </w:r>
    </w:p>
    <w:p w14:paraId="397D1EF5">
      <w:pPr>
        <w:spacing w:line="700" w:lineRule="exact"/>
        <w:ind w:firstLine="708" w:firstLineChars="236"/>
        <w:jc w:val="left"/>
        <w:rPr>
          <w:rFonts w:hAnsi="宋体" w:eastAsia="仿宋_GB2312" w:cs="宋体"/>
          <w:kern w:val="0"/>
          <w:sz w:val="30"/>
          <w:szCs w:val="30"/>
        </w:rPr>
      </w:pPr>
    </w:p>
    <w:p w14:paraId="2C1A0C73">
      <w:pPr>
        <w:spacing w:line="540" w:lineRule="exact"/>
        <w:rPr>
          <w:rStyle w:val="19"/>
          <w:rFonts w:ascii="黑体" w:hAnsi="黑体" w:eastAsia="黑体"/>
          <w:b w:val="0"/>
          <w:spacing w:val="-4"/>
          <w:sz w:val="32"/>
          <w:szCs w:val="32"/>
        </w:rPr>
      </w:pPr>
    </w:p>
    <w:p w14:paraId="43CCFD4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066F7D0">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5D93B3A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总金额700万元，项目实施主要分为两个项目组成：1、电商及直播运营实训设备采购项目，项目金额200万元。2、化工及化工安全实训设备采购项目。此项目金额500万元。1、电商及直播运营实训设备采购项目，主要采购录播及直播实训室设备、电子商务运营推广实训室设备，该项目完成后可有有效提升我校电商及直播运营方面的教学质量，促进学生更好的就业，能让学生在模拟真实场景中实操，掌握直播带货、电商运营等技能，提升拍摄剪辑、营销策划等能力，积累实战经验，增强就业竞争力，助力其毕业后快速适应岗位需求，还能拓宽学生职业视野，接触行业前沿技术与模式；促进团队协作与沟通，培养创新思维；通过反复实践强化知识运营，降低试错成本，实现从理论到实践的无缝衔接，未未来创业或职业发展奠定坚实基础。2直播运营实训设备采购项目、该项目完成后可以有效加强学校人才培训质量、提高人才培训效率，可让学生直观观掌握化工生产流程，通过实操熟悉设备操作。同时，能在模拟场景中学习安全规范，应急处理，增强安全意识与风险防范能力，提升专业技能，为进入化工行业筑牢实践基础，借助实训设备，学生可验证理论知识，加深对化工原理的理解；培养严谨科学态度与规范操作习惯；提前适应化工企业真实工作环境，积累经验，提升职业素养与岗位适应力，助力未来在化工领域稳定发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现在存在缺少直播带货、电商运营，提升拍摄剪辑、营销策划等能力人才现状，根据昌州财教【2023】103号关于提前下达2024年中央现代职业教育质量提升计划资金政策文件，为了提高直播带货、电商运营，拍摄剪辑、营销策划等能力人才的水平，解决学生毕业后快速适应岗位需求的问题，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（1）项目名称：中职昌州财教【2023】103号关于提前下达2024年中央现代职业教育质量提升计划资金预算的通知项目（以下简称“该项目”或“项目”）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主要提升我校电商及直播运营方面的教学质量，促进学生更好的就业，能让学生在模拟真实场景中实操，掌握直播带货、电商运营等技能，提升拍摄剪辑、营销策划等能力，积累实战经验，增强就业竞争力，助力其毕业后快速适应岗位需求。以及能在模拟场景中学习安全规范，应急处理，增强安全意识与风险防范能力，提升专业技能，为进入化工行业筑牢实践基础，借助实训设备，学生可验证理论知识，加深对化工原理的理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实施主体：吉木萨尔中等职业技术学校。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电商及直播运营实训设备采购项目与化工及化工安全实训设备采购项目自启动以来，严格遵循规范流程推进。前期准备阶段，项目组完成需求调研、技术参数论证及预算编制，形成详细采购清单；招投标阶段，通过公开招标确定优质供应商，并完成合同签订。实施过程中，电商直播设备按计划完成直播间搭建、虚拟仿真系统部署及互动教学平台调试，化工安全设备同步完成仿真实训室建设、应急演练系统及智能监控终端安装。项目验收阶段，经第三方检测与专家评审，设备性能指标、安全标准及教学功能均达标。目前，电商直播实训室已投入教学，累计开展直播实训课程30余场，覆盖学生500人次；化工安全实训基地实现VR事故模拟、危化品泄漏应急处置等12项实训功能，显著提升学生实操能力，项目成果获校企双方高度认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中等职业技术学校包含中专学校、技工学校、职业技能培训学校、职业技能鉴定所、教师进修学校、农广校、电大工作站等七所学校的七块业务工作。学校紧紧围绕县域经济的发展开展工作，坚持以服务为遵旨，以就业为导向，深化教育教学改革。服务于新型工业化举办中等职业和技工教育，服务于农业产业化和新型城镇化，举办职业技能培训、职业技能鉴定、农广校、电大教育和相关基地培训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中专学校和技工学校开设化学工艺、化工工艺、机电技术应用、电气自动化设备安装与维修、汽车运用与维修等特色专业， 实行订单培养，招生范围涉及全国多个省区，实行全日制三年教 学，第一、第二学年在本校学习理论和实操训练，第三学年到企业顶岗实习，学生毕业后就业率达 98%以上。 职业技能培训学校按照人社部门的要求，对县域内农村富于劳动力进行全国统一标准的电工、焊工、控掘机操作员等十多个工种的职业技能培训。学校还对企业员工进行岗前培训和在职培训。广泛开展统计员、餐厅服务员等社会培训，年培训量达万人以上。职业技能鉴定所对全州各县市职业技能培训的人员进行十多个工种的职业技能鉴定，合格后颁发全国统一的相应工种和等级的职业资格证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教师进修学校承担全县幼儿园、小学教师继续教育、少数民 族教师双语和计算机提高技能培训。农广校对从事农牧业生产的农牧民进行实用技术和技能培训，对村干部进行学历教育。 电大工作站对党政机关、企事业单位、农村有志青年进行专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本科学历教育，开设有 17 个专本科专业，成绩合格颁发相应专业专本科毕业证书。 学校先后成为自治区煤电煤化工人才培养基地、自治区科技兴新人才培养基地，是自治区重点县级职教中心，是昌吉州下岗职工再就业培训基地和新型职业农民培训基地，是昌吉州特色产业公用实训基地、昌吉州高技能人才培养基地，是教育部支持的煤电煤化工人才培养基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吉木萨尔中等职业技术学校无下属预算单位，下设8个处室，分别是：行政办，党建办，总务办，德育办，教务办，电大办，培训办、其他办公室。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本项目预算安排总额为700万元，资金来源为中央专项资金金，其中：财政资金700万元，其他资金0万元，2024年实际收到预算资金700万元，预算资金到位率为100%。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截至2024年12月31日，本项目实际支付资金700万元，预算执行率100%。本项目资金主要用于支付购买化工专业设备费用一批500万元、购买电商专业设备费用200万元。</w:t>
      </w:r>
    </w:p>
    <w:p w14:paraId="0A6D1B9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78209C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现有的教学设备进行补充、完善，化工专业设备及电商专业设备进行采购，逐步改善办学条件，不断提高学校的办学能力。提高实习实训教学质量，加大设计性、综合性、应用性、创新性实习实训项目的比例，注意培养学生理论联系实际的学风，严谨的科学态度，开拓创新精神，分析问题解决问题的能力，帮助学生掌握科学的实习方法，提高学生学习兴趣、动手能力，要积极创造条件向学生全日开放实习实训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“化工专业设备数量”指标，预期指标值为“等于1批”；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“电商专业设备数量”指标，预期指标值为“等于1批”；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“教学设备验收合格率”指标，预期指标值为“等于100%”；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“设备采购完成时间”指标，预期指标值为“等于2024年12月前”；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“化工专业设备一批成本”指标，预期指标值为“小于等于500万元”；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“电商专业设备一批成本”指标，预期指标值为“小于等于200万元”；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“教学设备正常使用率”指标，预期指标值为“等于100%”；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“学生满意度”指标，预期指标值为“大于等于95%”。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“教师满意度”指标，预期指标值为“大于等于95%”。</w:t>
      </w:r>
    </w:p>
    <w:p w14:paraId="5AB3F2F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149194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407820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中职昌州财教【2023】103号关于提前下达2024年中央现代职业教育质量提升计划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中职昌州财教【2023】103号关于提前下达2024年中央现代职业教育质量提升计划资金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1873D40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231332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24C13B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2A52B3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谢万友（评价小组组长）：主要负责项目策划和监督，全面负责项目绩效评价报告的最终质量，对评价人员出具的最终报告质量进行复核，确保评估结果的客观性；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王波（评价小组组员）：主要负责资料的收集，取证、数据统计分析；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刘艳红（评价小组组员）：主要负责项目报告的制定，指标的研判，数据分析及报告撰写。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9F3CB6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1994726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项目完成了录播及直播实训室设备、电子商务运营推广实训室设备、化工虚拟仿真实训室设备、化工生产智能控制实训区域设备购置，购置教学仪器设备质量验收合格率100%，按照文件要求在2024年12月31日前完成此设备购置，该项目完成后推进技能型人才培养及我校实训基地建设项目持续支持职业学校改善办学条件和实训基地建设项目。加大区职业院校教师素质培训力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2个，满分指标2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 19 30 20 10 100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14B3BFA5">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2DA1D2B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17843983">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自治区财政厅颁发的《关于提前下达2024年中央现代职业教育质量提升计划资金预算的通知》（新财教〔2023〕241号）中：“下达2024年中央现代职业教育质量提升计划资金”；本项目立项符合财政部、教育部《关于印发现代职业教育支提升计划专项资金管理办法》中：“支持增强职业教育适应性，推进职业教育改革发展，加快构建现代职业教育体系”内容，符合行业发展规划和政策要求；本项目立项符合《关于提前下达2024年中央现代职业教育质量提升计划资金管理办法》中职责范围中的“有效加强学校人才培训质量、提高人才培训效率，可让学生直观观掌握化工生产流程，通过实操熟悉设备操作。同时，能在模拟场景中学习安全规范，应急处理，增强安全意识与风险防范能力，提升专业技能，为进入化工行业筑牢实践基础，借助实训设备，学生可验证理论知识，加深对化工原理的理解”，属于我单位履职所需；根据《财政资金直接支付申请书》，本项目资金性质为“公共财政预算”功能分类为“2050399”经济分类为“31002”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对现有的教学设备进行补充、完善，化工专业设备及电商专业设备进行采购，逐步改善办学条件，不断提高学校的办学能力。提高实习实训教学质量，加大设计性、综合性、应用性、创新性实习实训项目的比例，注意培养学生理论联系实际的学风，严谨的科学态度，开拓创新精神，分析问题解决问题的能力，帮助学生掌握科学的实习方法，提高学生学习兴趣、动手能力，要积极创造条件向学生全日开放实习实训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②该项目实际工作内容为：购买录播及直播实训室设备、电子商务运营推广实训系统以及化工虚拟仿真实训室设备、化工生产智能控制实训区域设备购置。绩效目标与实际工作内容一致，两者具有相关性。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录播及直播实训室设备、电子商务运营推广实训系统以及化工虚拟仿真实训室设备、化工生产智能控制实训区域设备购置，达到提高实习实训教学质量，加大设计性、综合性、应用性、创新性实习实训项目的比例，注意培养学生理论联系实际的学风，严谨的科学态度，开拓创新精神，分析问题解决问题的能力，帮助学生掌握科学的实习方法，提高学生学习兴趣、动手能力的效益，预期产出效益和效果是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④该项目批复的预算金额为700万元，《项目支出绩效目标表》中预算金额为700万元，预算确定的项目资金与预算确定的项目投资额相匹配。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0个，定性指标0个，指标量化率为70%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值为“化工专业设备数量一批”“电商专业设备数量一批”，三级指标的年度指标值与年度绩效目标中任务数一致，已设置时效指标“设备采购完成时间=2024年12月前”。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本项目关于提前下达2024年中央现代职业教育质量提升计划资金预算，即预算编制较科学且经过论证；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关于提前下达2024年中央现代职业教育质量提升计划资金预算，项目实际内容为关于提前下达2024年中央现代职业教育质量提升计划资金预算，预算申请与《关于提前下达2024年中央现代职业教育质量提升计划资金预算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700万元，我单位在预算申请中严格按照项目实施内容及测算标准进行核算，其中：购置化工专业设备费用500万元、电商专业设备费用200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关于提前下达2024年中央现代职业教育质量提升计划资金预算项目资金的请示》和《关于申请关于提前下达2024年中央现代职业教育质量提升计划资金预算项目实施方案》为依据进行资金分配，预算资金分配依据充分。根据《关于申请关于提前下达2024年中央现代职业教育质量提升计划资金预算文件》新财教〔2023〕241号），本项目实际到位资金700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793D62F1">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16670FC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本项目预算资金为700万元，其中：财政安排资金700万元，其他资金0万元，实际到位资金700万元，资金到位率=（实际到位资金/预算资金）×100.00%=（700/700）×100.00%=100%。得分=（100%-60.00%）/（1-60.00%）×4.00=4分。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本项目实际支出资金700万元，预算执行率=（实际支出资金/实际到位资金）×100.00%=（700/700）×100.00%=100%；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得分=（100%-60.00%）/（1-60.00%）×100%=100%×5.00=5分。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吉木萨尔中等职业技术学校单位资金管理办法》《吉木萨尔中等职业技术学校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专项资金管理办法》《政府会计制度制度》《财务室安全管理制度管理制度》《吉木萨尔中等职业技术学校党支部关于落实“三重一大”制度的实施办法》，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吉木萨尔中等职业技术学校资金管理办法》《吉木萨尔中等职业技术学校管理制度》《吉木萨尔中等职业技术学校采购业务管理制度》《吉木萨尔中等职业技术学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项目工作领导小组，由王炜黎任组长，负责项目的组织工作；李茂元任副组长，负责项目的实施工作；组员包括：李彦明和方磊，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39E6E46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1E76AA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项目产出类指标由4个二级指标和6个三级指标构成，权重分30.00分，实际得分30分。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“化工专业设备数量”指标：预期指标值为“等于1批”，实际完成指标值为“等于1批”，指标完成率为100.00%。根据国库支付凭证显示，实际完成值为100%。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“电商专业设备数量”指标：预期指标值为“等于1批</w:t>
      </w:r>
      <w:bookmarkStart w:id="0" w:name="_GoBack"/>
      <w:bookmarkEnd w:id="0"/>
      <w:r>
        <w:rPr>
          <w:rStyle w:val="19"/>
          <w:rFonts w:hint="eastAsia" w:ascii="楷体" w:hAnsi="楷体" w:eastAsia="楷体"/>
          <w:b w:val="0"/>
          <w:bCs w:val="0"/>
          <w:spacing w:val="-4"/>
          <w:sz w:val="32"/>
          <w:szCs w:val="32"/>
        </w:rPr>
        <w:t>”，实际完成指标值为“等于1批”，指标完成率为100%。根据国库支付凭证显示，实际完成值为100%。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“教学设备验收合格率”指标：预期指标值为“等于100%”，实际完成指标值为“等于100%”，指标完成率为100%。根据验收单显示，实际完成值为100%。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“设备采购完成时间”指标：预期指标值为“等于2024年12月前”，实际完成指标值为“等于2024年12月前”，指标完成率为100%，根据验收单显示，实际完成值为100%。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“化工专业设备一批成本”指标：预期指标值为“小于等于500万元”，实际完成指标值为“500万元”，指标完成率为100%。根据国库支付凭证显示，实际完成值为100%。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“电商专业设备一批成本”指标：预期指标值为“小于等于200万元”，实际完成指标值为“小于等于200万元”，指标完成率为100%。根据国库支付凭证显示，实际完成值为100%。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综上所述，本指标满分为4分，根据评分标准得4分。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88177D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1C409C2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项目效益类指标由3个二级指标和1个三级指标构成，权重分20.00分，实际得分20分。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“教学设备正常使用率”指标：预期指标值为“等于100%”，实际完成指标值为“等于100%”，指标完成率为100.00%。达成职业教育教学效率与资源覆盖率效益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67A64E4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项目满意度类指标由1个二级指标和2个三级指标构成，权重分10.00分，实际得分10分。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“学生满意度”指标：预期指标值为“大于等于95%”，实际完成指标值为“等于95%”，指标完成率为100%。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“教师满意度”指标：预期指标值为“大于等于95%”，实际完成指标值为“等于95%”，指标完成率为100%。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p>
    <w:p w14:paraId="1FAC5A61">
      <w:pPr>
        <w:spacing w:line="540" w:lineRule="exact"/>
        <w:ind w:firstLine="567"/>
        <w:rPr>
          <w:rStyle w:val="19"/>
          <w:rFonts w:hint="eastAsia" w:ascii="楷体" w:hAnsi="楷体" w:eastAsia="楷体"/>
          <w:b w:val="0"/>
          <w:bCs w:val="0"/>
          <w:spacing w:val="-4"/>
          <w:sz w:val="32"/>
          <w:szCs w:val="32"/>
        </w:rPr>
      </w:pPr>
    </w:p>
    <w:p w14:paraId="488B2681">
      <w:pPr>
        <w:spacing w:line="540" w:lineRule="exact"/>
        <w:ind w:firstLine="567"/>
        <w:rPr>
          <w:rStyle w:val="19"/>
          <w:rFonts w:ascii="楷体" w:hAnsi="楷体" w:eastAsia="楷体"/>
          <w:spacing w:val="-4"/>
          <w:sz w:val="32"/>
          <w:szCs w:val="32"/>
        </w:rPr>
      </w:pPr>
    </w:p>
    <w:p w14:paraId="7EB2A4B1">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7AFE6DB8">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有关财经法规和资金管理办法，强化我校主体责任，完善专项经费使用管理制度，规范专项资金的使用和监督管理。自治区专项资金预算执行要求和全面实施预算绩效管理的意见，按照时间节点，积极做好项目实施前期准备工作，加快专项资金审批流程，提高专项资金支付即使率，切实提高资金使用效益，防止出现激战、挪用、虚列、套取专项补助资金等行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实施中职昌州财教【2023】103号关于提前下达2024年中央现代职业教育质量提升计划资金项目过程中，专项资金项目的经费执行需要多层级的审批，导致资金的批准和拨付时间较长。按照自治区专项资金预算执行要求和全面实施预算绩效管理的意见，阶段性支付进度有待提高。</w:t>
      </w:r>
    </w:p>
    <w:p w14:paraId="26C9C9F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0E667BC">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对于项目建设从决策到运行各个阶段，制定详细的管理程序，明确各个阶段的目标的职责，目标控制贯穿与项目实施的全过程，从而保证项目按计划完成。</w:t>
      </w:r>
    </w:p>
    <w:p w14:paraId="6D70CDA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A809D6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0AD100B2">
      <w:pPr>
        <w:spacing w:line="540" w:lineRule="exact"/>
        <w:ind w:firstLine="567"/>
        <w:rPr>
          <w:rStyle w:val="19"/>
          <w:rFonts w:ascii="仿宋" w:hAnsi="仿宋" w:eastAsia="仿宋"/>
          <w:b w:val="0"/>
          <w:spacing w:val="-4"/>
          <w:sz w:val="32"/>
          <w:szCs w:val="32"/>
        </w:rPr>
      </w:pPr>
    </w:p>
    <w:p w14:paraId="633033FB">
      <w:pPr>
        <w:spacing w:line="540" w:lineRule="exact"/>
        <w:ind w:firstLine="567"/>
        <w:rPr>
          <w:rStyle w:val="19"/>
          <w:rFonts w:ascii="仿宋" w:hAnsi="仿宋" w:eastAsia="仿宋"/>
          <w:b w:val="0"/>
          <w:spacing w:val="-4"/>
          <w:sz w:val="32"/>
          <w:szCs w:val="32"/>
        </w:rPr>
      </w:pPr>
    </w:p>
    <w:p w14:paraId="07C958C2">
      <w:pPr>
        <w:spacing w:line="540" w:lineRule="exact"/>
        <w:ind w:firstLine="567"/>
        <w:rPr>
          <w:rStyle w:val="19"/>
          <w:rFonts w:ascii="仿宋" w:hAnsi="仿宋" w:eastAsia="仿宋"/>
          <w:b w:val="0"/>
          <w:spacing w:val="-4"/>
          <w:sz w:val="32"/>
          <w:szCs w:val="32"/>
        </w:rPr>
      </w:pPr>
    </w:p>
    <w:p w14:paraId="459BF74A">
      <w:pPr>
        <w:spacing w:line="540" w:lineRule="exact"/>
        <w:ind w:firstLine="567"/>
        <w:rPr>
          <w:rStyle w:val="19"/>
          <w:rFonts w:ascii="仿宋" w:hAnsi="仿宋" w:eastAsia="仿宋"/>
          <w:b w:val="0"/>
          <w:spacing w:val="-4"/>
          <w:sz w:val="32"/>
          <w:szCs w:val="32"/>
        </w:rPr>
      </w:pPr>
    </w:p>
    <w:p w14:paraId="435DF398">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201A584">
        <w:pPr>
          <w:pStyle w:val="12"/>
          <w:jc w:val="center"/>
        </w:pPr>
        <w:r>
          <w:fldChar w:fldCharType="begin"/>
        </w:r>
        <w:r>
          <w:instrText xml:space="preserve">PAGE   \* MERGEFORMAT</w:instrText>
        </w:r>
        <w:r>
          <w:fldChar w:fldCharType="separate"/>
        </w:r>
        <w:r>
          <w:rPr>
            <w:lang w:val="zh-CN"/>
          </w:rPr>
          <w:t>2</w:t>
        </w:r>
        <w:r>
          <w:fldChar w:fldCharType="end"/>
        </w:r>
      </w:p>
    </w:sdtContent>
  </w:sdt>
  <w:p w14:paraId="73B7D2E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074A0EA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fb745d6b-f2a9-4b26-8aa0-f044ef46c16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2026-08-20T04:45:04Z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