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7BC769">
      <w:pPr>
        <w:spacing w:line="540" w:lineRule="exact"/>
        <w:rPr>
          <w:rFonts w:ascii="黑体" w:hAnsi="黑体" w:eastAsia="黑体"/>
          <w:sz w:val="32"/>
          <w:szCs w:val="32"/>
          <w:highlight w:val="none"/>
        </w:rPr>
      </w:pPr>
      <w:r>
        <w:rPr>
          <w:rFonts w:hint="eastAsia" w:ascii="黑体" w:hAnsi="黑体" w:eastAsia="黑体"/>
          <w:sz w:val="32"/>
          <w:szCs w:val="32"/>
          <w:highlight w:val="none"/>
        </w:rPr>
        <w:t>附件1：</w:t>
      </w:r>
    </w:p>
    <w:p w14:paraId="79A86F9D">
      <w:pPr>
        <w:spacing w:line="540" w:lineRule="exact"/>
        <w:rPr>
          <w:rFonts w:ascii="方正小标宋_GBK" w:hAnsi="宋体" w:eastAsia="方正小标宋_GBK"/>
          <w:sz w:val="44"/>
          <w:szCs w:val="44"/>
          <w:highlight w:val="none"/>
        </w:rPr>
      </w:pPr>
    </w:p>
    <w:p w14:paraId="1AC2FFE5">
      <w:pPr>
        <w:spacing w:line="540" w:lineRule="exact"/>
        <w:jc w:val="center"/>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eastAsia="zh-CN"/>
        </w:rPr>
        <w:t>2019年度吉木萨尔县自然资源局</w:t>
      </w:r>
    </w:p>
    <w:p w14:paraId="26533C74">
      <w:pPr>
        <w:spacing w:line="540" w:lineRule="exact"/>
        <w:jc w:val="center"/>
        <w:rPr>
          <w:rFonts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14:paraId="111E0E0E">
      <w:pPr>
        <w:spacing w:line="540" w:lineRule="exact"/>
        <w:rPr>
          <w:rFonts w:ascii="仿宋_GB2312" w:hAnsi="宋体" w:eastAsia="仿宋_GB2312"/>
          <w:sz w:val="32"/>
          <w:szCs w:val="32"/>
          <w:highlight w:val="none"/>
        </w:rPr>
      </w:pPr>
    </w:p>
    <w:p w14:paraId="38D5B50D">
      <w:pPr>
        <w:spacing w:line="540" w:lineRule="exact"/>
        <w:jc w:val="center"/>
        <w:rPr>
          <w:rFonts w:ascii="黑体" w:hAnsi="黑体" w:eastAsia="黑体"/>
          <w:bCs/>
          <w:kern w:val="0"/>
          <w:sz w:val="32"/>
          <w:szCs w:val="32"/>
          <w:highlight w:val="none"/>
        </w:rPr>
      </w:pPr>
      <w:r>
        <w:rPr>
          <w:rFonts w:hint="eastAsia" w:ascii="黑体" w:hAnsi="黑体" w:eastAsia="黑体"/>
          <w:bCs/>
          <w:kern w:val="0"/>
          <w:sz w:val="32"/>
          <w:szCs w:val="32"/>
          <w:highlight w:val="none"/>
        </w:rPr>
        <w:t>目  录</w:t>
      </w:r>
    </w:p>
    <w:p w14:paraId="4ACEE1B8">
      <w:pPr>
        <w:spacing w:line="540" w:lineRule="exact"/>
        <w:rPr>
          <w:rFonts w:ascii="仿宋_GB2312" w:hAnsi="宋体" w:eastAsia="仿宋_GB2312"/>
          <w:b/>
          <w:kern w:val="0"/>
          <w:sz w:val="32"/>
          <w:szCs w:val="32"/>
          <w:highlight w:val="none"/>
        </w:rPr>
      </w:pPr>
    </w:p>
    <w:p w14:paraId="5C7EABA6">
      <w:pPr>
        <w:spacing w:line="540" w:lineRule="exact"/>
        <w:ind w:firstLine="640" w:firstLineChars="200"/>
        <w:rPr>
          <w:rFonts w:ascii="黑体" w:hAnsi="黑体" w:eastAsia="黑体"/>
          <w:kern w:val="0"/>
          <w:sz w:val="32"/>
          <w:szCs w:val="32"/>
          <w:highlight w:val="none"/>
        </w:rPr>
      </w:pPr>
      <w:r>
        <w:rPr>
          <w:rFonts w:hint="eastAsia" w:ascii="黑体" w:hAnsi="黑体" w:eastAsia="黑体"/>
          <w:kern w:val="0"/>
          <w:sz w:val="32"/>
          <w:szCs w:val="32"/>
          <w:highlight w:val="none"/>
        </w:rPr>
        <w:t>第一部分 部门单位概况</w:t>
      </w:r>
    </w:p>
    <w:p w14:paraId="7792A3C4">
      <w:pPr>
        <w:spacing w:line="540" w:lineRule="exact"/>
        <w:ind w:firstLine="640" w:firstLineChars="200"/>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一、主要职能</w:t>
      </w:r>
    </w:p>
    <w:p w14:paraId="22331136">
      <w:pPr>
        <w:spacing w:line="540" w:lineRule="exact"/>
        <w:ind w:firstLine="640" w:firstLineChars="200"/>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二、</w:t>
      </w:r>
      <w:r>
        <w:rPr>
          <w:rFonts w:hint="eastAsia" w:ascii="仿宋_GB2312" w:eastAsia="仿宋_GB2312"/>
          <w:sz w:val="32"/>
          <w:szCs w:val="32"/>
          <w:highlight w:val="none"/>
        </w:rPr>
        <w:t>机构设置情况</w:t>
      </w:r>
    </w:p>
    <w:p w14:paraId="67420F4E">
      <w:pPr>
        <w:spacing w:line="540" w:lineRule="exact"/>
        <w:ind w:firstLine="640" w:firstLineChars="200"/>
        <w:rPr>
          <w:rFonts w:ascii="黑体" w:hAnsi="黑体" w:eastAsia="黑体"/>
          <w:kern w:val="0"/>
          <w:sz w:val="32"/>
          <w:szCs w:val="32"/>
          <w:highlight w:val="none"/>
        </w:rPr>
      </w:pPr>
      <w:r>
        <w:rPr>
          <w:rFonts w:hint="eastAsia" w:ascii="黑体" w:hAnsi="黑体" w:eastAsia="黑体"/>
          <w:kern w:val="0"/>
          <w:sz w:val="32"/>
          <w:szCs w:val="32"/>
          <w:highlight w:val="none"/>
        </w:rPr>
        <w:t>第二部分 部门决算情况说明</w:t>
      </w:r>
    </w:p>
    <w:p w14:paraId="53C113CE">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一、部门收支总体情况</w:t>
      </w:r>
    </w:p>
    <w:p w14:paraId="5689D4A1">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（一）部门收入支出决算总体情况说明</w:t>
      </w:r>
    </w:p>
    <w:p w14:paraId="00D95C83">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（二）部门收入总体情况说明</w:t>
      </w:r>
    </w:p>
    <w:p w14:paraId="052B6308">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（三）部门支出总体情况说明</w:t>
      </w:r>
    </w:p>
    <w:p w14:paraId="4A82D965">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二、部门财政拨款收支情况</w:t>
      </w:r>
    </w:p>
    <w:p w14:paraId="069E4ECA">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（一）财政拨款收支总体情况说明</w:t>
      </w:r>
    </w:p>
    <w:p w14:paraId="6D777EA5">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（二）一般公共预算收支决算情况说明</w:t>
      </w:r>
    </w:p>
    <w:p w14:paraId="6B3D41D3">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（三）政府性基金预算收支决算情况说明</w:t>
      </w:r>
    </w:p>
    <w:p w14:paraId="41E86A3F">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三、部门结转结余情况</w:t>
      </w:r>
    </w:p>
    <w:p w14:paraId="58AC6E44">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四、一般公共预算“三公”经费支出情况</w:t>
      </w:r>
    </w:p>
    <w:p w14:paraId="383355F3">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五、机关运行经费支出情况</w:t>
      </w:r>
    </w:p>
    <w:p w14:paraId="33E931CD">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六、政府采购情况</w:t>
      </w:r>
    </w:p>
    <w:p w14:paraId="08155106">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七、其他重要事项的情况</w:t>
      </w:r>
    </w:p>
    <w:p w14:paraId="26C0185D">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（一）国有资产占用情况说明</w:t>
      </w:r>
    </w:p>
    <w:p w14:paraId="1FC62F4F">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（二）预算绩效情况的说明</w:t>
      </w:r>
    </w:p>
    <w:p w14:paraId="69530B67">
      <w:pPr>
        <w:spacing w:line="540" w:lineRule="exact"/>
        <w:ind w:firstLine="640" w:firstLineChars="200"/>
        <w:rPr>
          <w:rFonts w:ascii="黑体" w:hAnsi="黑体" w:eastAsia="黑体"/>
          <w:kern w:val="0"/>
          <w:sz w:val="32"/>
          <w:szCs w:val="32"/>
          <w:highlight w:val="none"/>
        </w:rPr>
      </w:pPr>
      <w:r>
        <w:rPr>
          <w:rFonts w:hint="eastAsia" w:ascii="黑体" w:hAnsi="黑体" w:eastAsia="黑体"/>
          <w:kern w:val="0"/>
          <w:sz w:val="32"/>
          <w:szCs w:val="32"/>
          <w:highlight w:val="none"/>
        </w:rPr>
        <w:t>第三部分 专业名词解释</w:t>
      </w:r>
    </w:p>
    <w:p w14:paraId="1B5AF2A3">
      <w:pPr>
        <w:spacing w:line="540" w:lineRule="exact"/>
        <w:ind w:firstLine="640" w:firstLineChars="200"/>
        <w:rPr>
          <w:rFonts w:ascii="黑体" w:hAnsi="黑体" w:eastAsia="黑体"/>
          <w:kern w:val="0"/>
          <w:sz w:val="32"/>
          <w:szCs w:val="32"/>
          <w:highlight w:val="none"/>
        </w:rPr>
      </w:pPr>
      <w:r>
        <w:rPr>
          <w:rFonts w:hint="eastAsia" w:ascii="黑体" w:hAnsi="黑体" w:eastAsia="黑体"/>
          <w:kern w:val="0"/>
          <w:sz w:val="32"/>
          <w:szCs w:val="32"/>
          <w:highlight w:val="none"/>
        </w:rPr>
        <w:t>第四部分 部</w:t>
      </w:r>
      <w:r>
        <w:rPr>
          <w:rFonts w:hint="eastAsia" w:ascii="黑体" w:hAnsi="黑体" w:eastAsia="黑体"/>
          <w:sz w:val="32"/>
          <w:szCs w:val="32"/>
          <w:highlight w:val="none"/>
        </w:rPr>
        <w:t>门决算公开的8张报表</w:t>
      </w:r>
    </w:p>
    <w:p w14:paraId="126D660E">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《收入支出决算总表》</w:t>
      </w:r>
    </w:p>
    <w:p w14:paraId="07FE9866">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《收入决算表》</w:t>
      </w:r>
    </w:p>
    <w:p w14:paraId="39A246BB">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《支出决算表》</w:t>
      </w:r>
    </w:p>
    <w:p w14:paraId="56776B20">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《财政拨款收入支出决算总表》</w:t>
      </w:r>
    </w:p>
    <w:p w14:paraId="46ADA532">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《一般公共预算财政拨款支出决算表》</w:t>
      </w:r>
    </w:p>
    <w:p w14:paraId="7D22D411">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《一般公共预算财政拨款基本支出决算表》</w:t>
      </w:r>
    </w:p>
    <w:p w14:paraId="11F39CA7">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《一般公共预算财政拨款“三公”经费支出决算表》</w:t>
      </w:r>
    </w:p>
    <w:p w14:paraId="5D1DC1E4">
      <w:pPr>
        <w:spacing w:line="540" w:lineRule="exact"/>
        <w:ind w:firstLine="640" w:firstLineChars="200"/>
        <w:rPr>
          <w:rFonts w:ascii="仿宋_GB2312" w:hAnsi="宋体" w:eastAsia="仿宋_GB2312"/>
          <w:sz w:val="32"/>
          <w:szCs w:val="32"/>
          <w:highlight w:val="none"/>
        </w:rPr>
      </w:pPr>
      <w:r>
        <w:rPr>
          <w:rFonts w:hint="eastAsia" w:ascii="仿宋_GB2312" w:eastAsia="仿宋_GB2312"/>
          <w:sz w:val="32"/>
          <w:szCs w:val="32"/>
          <w:highlight w:val="none"/>
        </w:rPr>
        <w:t>《政府性基金预算财政拨款收入支出决算表》</w:t>
      </w:r>
    </w:p>
    <w:p w14:paraId="293A0B70">
      <w:pPr>
        <w:spacing w:line="540" w:lineRule="exact"/>
        <w:ind w:firstLine="640" w:firstLineChars="200"/>
        <w:rPr>
          <w:rFonts w:ascii="黑体" w:hAnsi="黑体" w:eastAsia="黑体"/>
          <w:sz w:val="32"/>
          <w:szCs w:val="32"/>
          <w:highlight w:val="none"/>
        </w:rPr>
      </w:pPr>
    </w:p>
    <w:p w14:paraId="37D3B25A">
      <w:pPr>
        <w:spacing w:line="540" w:lineRule="exact"/>
        <w:jc w:val="center"/>
        <w:rPr>
          <w:rFonts w:ascii="黑体" w:hAnsi="黑体" w:eastAsia="黑体"/>
          <w:sz w:val="32"/>
          <w:szCs w:val="32"/>
          <w:highlight w:val="none"/>
        </w:rPr>
      </w:pPr>
      <w:r>
        <w:rPr>
          <w:rFonts w:hint="eastAsia" w:ascii="黑体" w:hAnsi="黑体" w:eastAsia="黑体"/>
          <w:sz w:val="32"/>
          <w:szCs w:val="32"/>
          <w:highlight w:val="none"/>
        </w:rPr>
        <w:t>第一部分 部门单位概况</w:t>
      </w:r>
    </w:p>
    <w:p w14:paraId="619DD16D">
      <w:pPr>
        <w:spacing w:line="540" w:lineRule="exact"/>
        <w:ind w:firstLine="640" w:firstLineChars="200"/>
        <w:rPr>
          <w:rFonts w:ascii="黑体" w:hAnsi="黑体" w:eastAsia="黑体" w:cs="宋体"/>
          <w:bCs/>
          <w:kern w:val="0"/>
          <w:sz w:val="32"/>
          <w:szCs w:val="32"/>
          <w:highlight w:val="none"/>
        </w:rPr>
      </w:pPr>
      <w:r>
        <w:rPr>
          <w:rFonts w:hint="eastAsia" w:ascii="黑体" w:hAnsi="黑体" w:eastAsia="黑体" w:cs="宋体"/>
          <w:bCs/>
          <w:kern w:val="0"/>
          <w:sz w:val="32"/>
          <w:szCs w:val="32"/>
          <w:highlight w:val="none"/>
        </w:rPr>
        <w:t>一、主要职能</w:t>
      </w:r>
    </w:p>
    <w:p w14:paraId="0385D3D3">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履行全民所有土地、矿产、森林、草原、湿地、荒漠、水、陆生野生动植物等自然资源资产所有者职责和所有国土空间用途管制职责。贯彻执行自然资源、国土空间规划、城乡规划和测绘地理信息等法律法规。</w:t>
      </w:r>
    </w:p>
    <w:p w14:paraId="5E347357">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二）负责自然资源调查监测评价。贯彻落实自然资源调查监测评价的指标体系和统计标准，按照统一规范的自然资源调查监测评价制度，实施自然资源基础调查、专项调查和监测。负责自然资源调查监测评价成果的监督管理和信息发布。负责森林、草原、湿地、荒漠和陆生野生动植物资源动态监测与评价。</w:t>
      </w:r>
    </w:p>
    <w:p w14:paraId="18584D6C">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三）负责森林、草原、湿地、荒漠和陆生野生动植物资源动态监测与评价。贯彻落实各类自然资源和不动产统一确权登记、权籍调查、不动产测绘、争议调处、成果应用的制度、标准、规范。建立健全自然资源和不动产登记信息管理基础平台。负责县自然资源和不动产登记资料收集、整理、共享、汇交管理等。组织有关部门调查、调处县域内土地、草场、矿山、林地、水域等权属纠纷。</w:t>
      </w:r>
    </w:p>
    <w:p w14:paraId="040335FF">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四）负责自然资源资产有偿使用工作。贯彻执行全民所有自然资源资产统计制度，负责县全民所有自然资源资产核算。编制县全民所有自然资源资产负债表，贯彻执行全民所有自然资源资产划拨、出让、租赁、作价出资和土地储备政策，合理配置县全民所有自然资源资产。负责县自然资源资产价值评估管理，依法收缴相关资产收益。</w:t>
      </w:r>
    </w:p>
    <w:p w14:paraId="766658D0">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五）负责自然资源的合理开发利用。研究县自然资源发展规划，按照自然资源开发利用标准组织实施，建立政府公示自然资源价格体系，组织开展自然资源分等定级价格评估，指导节约集约利用。负责县自然资源市场监管。</w:t>
      </w:r>
    </w:p>
    <w:p w14:paraId="2E4EADDB">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六）负责建立空间规划体系并实施。推进县主体功能区战略和制度，组织编制并监督实施国土空间规划和相关专项规划。开展县国土空间开发适宜性评价，建立国土空间规划实施监测、评估和预警体系。组织划定县生态保护红线、永久基本农田、城镇开发边界等控制线，构建节约资源和保护环境的生产、生活、生态空间布局。建立健全县国土空间用途管制制度。负责全县土地等国土空间用途转用工作及土地征收征用管理。</w:t>
      </w:r>
    </w:p>
    <w:p w14:paraId="7F51A81D">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七）组织编制全县总体规划、控制性详细规划、修建性详细规划、分区规划以及各类专项规划并组织实施。编制县域乡（镇）规划、村庄规划。负责权限内规划选址工作，负责城乡规划审核、实施、修改工作。指导城镇地下空间开发利用的规划管理工作。负责全县城乡规划行政执法管理工作。</w:t>
      </w:r>
    </w:p>
    <w:p w14:paraId="08E612C7">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八）负责统筹国土空间生态修复。牵头组织编制县国土空间生态修复规划并实施有关生态修复重大工程。负责县国土空间综合整治、土地整理复垦、矿山地质环境恢复治理等工作。牵头和实施县生态保护补偿制度，拟订合理利用社会资金进行生态修复的政策措施。</w:t>
      </w:r>
    </w:p>
    <w:p w14:paraId="552A1E26">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九）组织林业和草原生态保护修复及造林绿化工作。组织实施林业和草原生态保护修复工程，指导公益林和商品林的培育，指导、监督全民义务植树、城乡绿化工作。指导林业和草原有害生物防治、检疫工作。承担林业和草原应对气候变化相关工作。</w:t>
      </w:r>
    </w:p>
    <w:p w14:paraId="60F4F311">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十）负责森林、草原、湿地资源的监督管理。组织编制并监督执行森林采伐限额；负责林地管理，拟订林地保护利用规划并组织实施，管理国有林区的国有森林资源。负责草原禁牧、草畜平衡和草原生态修复治理工作，监督管理草原的开发利用。负责湿地生态保护修复工作，拟订湿地保护规划，监督管理湿地的开发利用。</w:t>
      </w:r>
    </w:p>
    <w:p w14:paraId="1C6CB25C">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十一）贯彻落实最严格的耕地保护制度。贯彻落实国家耕地保护政策并牵头和实施县有关政策，负责耕地数量、质量、生态保护。组织实施耕地保护责任目标考核和永久基本农田特殊保护。落实土地占补平衡制度和占用耕地补偿制度。</w:t>
      </w:r>
    </w:p>
    <w:p w14:paraId="34EC71B0">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十二）负责矿产资源管理工作。负责县矿产资源储量管理及压覆矿产资源审查。监督指导全县矿产资源合理利用和保护。负责地质资料汇交、保管和利用。承担县保护性开采的特定矿种、优势矿产的调控及相关管理工作。</w:t>
      </w:r>
    </w:p>
    <w:p w14:paraId="1A97B9C2">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（十三）负责管理县地质勘查工作。负责对县域内实施的地质勘查工作进行监督检查。负责县地质灾害预防和治理，监督管理地下水过量开采引发的地面沉降等地质问题。负责县古生物化石的监督管理。</w:t>
      </w:r>
    </w:p>
    <w:p w14:paraId="032B6A5B">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十四）负责落实综合防灾减灾规划相关要求，负责行业安全生产相关工作。组织编制县地质灾害防治规划、执行防护标准并组织实施。组织协调和监督县地质灾害调查评价及隐患的普查、详查、排查。指导开展群测群防、专业监测和预报预警等工作，指导开展地质灾害工程治理工作。承担县地质灾害应急救援的技术支撑工作。组织编制森林和草原火灾防治规划并监督实施，组织开展林业和草原防火巡护、火源管理、防火设施建设等工作。组织国有林场林区和草原开展宣传教育、监测预警、督促检查等防火工作。必要时，可以提请县应急管理局，以县应急指挥机构名义，部署相关防治工作。</w:t>
      </w:r>
    </w:p>
    <w:p w14:paraId="1D0D3108">
      <w:pPr>
        <w:spacing w:line="540" w:lineRule="exact"/>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rPr>
        <w:t>（十五）负责监督管理荒漠化防治工作。组织开展荒漠调查，研究制定防沙治沙及沙化土地封禁保护区建设规划、相关地方标准和技术规程并监督实施。监督管理沙化</w:t>
      </w:r>
      <w:r>
        <w:rPr>
          <w:rFonts w:hint="eastAsia" w:ascii="仿宋_GB2312" w:eastAsia="仿宋_GB2312"/>
          <w:sz w:val="32"/>
          <w:szCs w:val="32"/>
          <w:highlight w:val="none"/>
          <w:lang w:eastAsia="zh-CN"/>
        </w:rPr>
        <w:t>。</w:t>
      </w:r>
    </w:p>
    <w:p w14:paraId="08B3ABF9">
      <w:pPr>
        <w:spacing w:line="540" w:lineRule="exact"/>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十六）负责野生动植物资源监督管理。组织开展野生动植物资源调查，监督管理野生动植物救护繁育、栖息地恢复发展及野生动物疫源疫病监测、防控、应急处置。监督管理野生动植物猎捕或采集、驯养繁殖或培植、经营利用。</w:t>
      </w:r>
    </w:p>
    <w:p w14:paraId="428FDB5F">
      <w:pPr>
        <w:spacing w:line="540" w:lineRule="exact"/>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十七）指导国有林场基本建设和发展，组织林木种子、草种种质资源普查，组织建立种质资源库,负责良种选育推广，管理林木种苗、草种生产经营行为，监管林木种苗、草种质量。监督管理林业和草原生物种质资源、转基因生物安全、植物新品种保护。</w:t>
      </w:r>
    </w:p>
    <w:p w14:paraId="00CFF15D">
      <w:pPr>
        <w:spacing w:line="540" w:lineRule="exact"/>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十八）负责监督管理各类自然保护地。拟订各类自然保护地规划。负责国家公园、自然保护区、风景名胜区、地质公园、森林公园等设立、规划、建设和特许经营工作。负责县直接行使所有权的自然保护地的自然资源资产管理和国土空间用途管制。提出新建、调整各类自治区级自然保护地的审核建议并按程序报批，负责权限内世界自然遗产及世界自然与文化双重遗产的申报相关工作。负责生物多样性保护相关工作。</w:t>
      </w:r>
    </w:p>
    <w:p w14:paraId="5EEFE254">
      <w:pPr>
        <w:spacing w:line="540" w:lineRule="exact"/>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十九）拟订林业和草原资源优化配置及木材利用规划，拟订林业产业地方发展规划并组织实施，负责林产品质量监督，指导林果业发展，指导生态扶贫相关工作。负责推进林业和草原改革相关工作。贯彻落实农村林业发展、维护林业经营者合法权益的政策措施，指导农村林地承包经营工作。开展退耕（牧）还林还草，负责天然林保护工作。组织实施林业和草原生态补偿工作。</w:t>
      </w:r>
    </w:p>
    <w:p w14:paraId="546FB5B2">
      <w:pPr>
        <w:spacing w:line="540" w:lineRule="exact"/>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（二十）负责测绘地理信息管理工作。负责县基础测绘和测绘行业管理。负责县测绘资质资格与信用管理，监督管理县地理信息安全和市场秩序。负责县地理信息公共服务管理。负责县测量标志保护。</w:t>
      </w:r>
    </w:p>
    <w:p w14:paraId="67934431">
      <w:pPr>
        <w:spacing w:line="540" w:lineRule="exact"/>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（二十一）推动自然资源、林业、草原领域科技发展。制定并实施县自然资源、林业、草原领域科技创新发展和人才培养规划和计划。推进自然资源信息化和信息资料的公共服务。</w:t>
      </w:r>
    </w:p>
    <w:p w14:paraId="4C800319">
      <w:pPr>
        <w:spacing w:line="540" w:lineRule="exact"/>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（二十二）监督检查各乡（镇）执行和遵守自然资源法律法规的情况，依法调查处理县国土空间规划和自然资源违法案件。</w:t>
      </w:r>
    </w:p>
    <w:p w14:paraId="2013A1E7">
      <w:pPr>
        <w:spacing w:line="540" w:lineRule="exact"/>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（二十三）完成县委、县人民政府交办的其他任务。</w:t>
      </w:r>
    </w:p>
    <w:p w14:paraId="2E42008C">
      <w:pPr>
        <w:bidi w:val="0"/>
        <w:rPr>
          <w:rFonts w:hint="eastAsia"/>
          <w:highlight w:val="none"/>
          <w:lang w:eastAsia="zh-CN"/>
        </w:rPr>
      </w:pPr>
    </w:p>
    <w:p w14:paraId="70B8B7AA">
      <w:pPr>
        <w:spacing w:line="540" w:lineRule="exact"/>
        <w:ind w:firstLine="640" w:firstLineChars="200"/>
        <w:rPr>
          <w:rFonts w:ascii="黑体" w:hAnsi="黑体" w:eastAsia="黑体" w:cs="宋体"/>
          <w:bCs/>
          <w:kern w:val="0"/>
          <w:sz w:val="32"/>
          <w:szCs w:val="32"/>
          <w:highlight w:val="none"/>
        </w:rPr>
      </w:pPr>
      <w:r>
        <w:rPr>
          <w:rFonts w:hint="eastAsia" w:ascii="黑体" w:hAnsi="黑体" w:eastAsia="黑体" w:cs="宋体"/>
          <w:bCs/>
          <w:kern w:val="0"/>
          <w:sz w:val="32"/>
          <w:szCs w:val="32"/>
          <w:highlight w:val="none"/>
        </w:rPr>
        <w:t>二、机构设置情况</w:t>
      </w:r>
    </w:p>
    <w:p w14:paraId="3B77203E">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从决算单位构成看，</w:t>
      </w:r>
      <w:r>
        <w:rPr>
          <w:rFonts w:hint="eastAsia" w:ascii="仿宋_GB2312" w:eastAsia="仿宋_GB2312"/>
          <w:sz w:val="32"/>
          <w:szCs w:val="32"/>
          <w:highlight w:val="none"/>
          <w:lang w:eastAsia="zh-CN"/>
        </w:rPr>
        <w:t>吉木萨尔县自然资源局部门决算</w:t>
      </w:r>
      <w:r>
        <w:rPr>
          <w:rFonts w:hint="eastAsia" w:ascii="仿宋_GB2312" w:eastAsia="仿宋_GB2312"/>
          <w:sz w:val="32"/>
          <w:szCs w:val="32"/>
          <w:highlight w:val="none"/>
        </w:rPr>
        <w:t>部门决算包括：</w:t>
      </w:r>
      <w:r>
        <w:rPr>
          <w:rFonts w:hint="eastAsia" w:ascii="仿宋_GB2312" w:eastAsia="仿宋_GB2312"/>
          <w:sz w:val="32"/>
          <w:szCs w:val="32"/>
          <w:highlight w:val="none"/>
          <w:lang w:eastAsia="zh-CN"/>
        </w:rPr>
        <w:t>吉木萨尔县自然资源局</w:t>
      </w:r>
      <w:r>
        <w:rPr>
          <w:rFonts w:hint="eastAsia" w:ascii="仿宋_GB2312" w:eastAsia="仿宋_GB2312"/>
          <w:sz w:val="32"/>
          <w:szCs w:val="32"/>
          <w:highlight w:val="none"/>
        </w:rPr>
        <w:t>部门决算部门。</w:t>
      </w:r>
    </w:p>
    <w:p w14:paraId="75BB53C1">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吉木萨尔县自然资源局</w:t>
      </w:r>
      <w:r>
        <w:rPr>
          <w:rFonts w:hint="eastAsia" w:ascii="仿宋_GB2312" w:eastAsia="仿宋_GB2312"/>
          <w:sz w:val="32"/>
          <w:szCs w:val="32"/>
          <w:highlight w:val="none"/>
        </w:rPr>
        <w:t>部门决算。年末实有人数</w:t>
      </w:r>
      <w:r>
        <w:rPr>
          <w:rFonts w:hint="eastAsia" w:ascii="仿宋_GB2312" w:eastAsia="仿宋_GB2312"/>
          <w:sz w:val="32"/>
          <w:szCs w:val="32"/>
          <w:highlight w:val="none"/>
          <w:lang w:val="en-US" w:eastAsia="zh-CN"/>
        </w:rPr>
        <w:t>168</w:t>
      </w:r>
      <w:r>
        <w:rPr>
          <w:rFonts w:hint="eastAsia" w:ascii="仿宋_GB2312" w:eastAsia="仿宋_GB2312"/>
          <w:sz w:val="32"/>
          <w:szCs w:val="32"/>
          <w:highlight w:val="none"/>
        </w:rPr>
        <w:t>人，其中：行政在职</w:t>
      </w:r>
      <w:r>
        <w:rPr>
          <w:rFonts w:hint="eastAsia" w:ascii="仿宋_GB2312" w:eastAsia="仿宋_GB2312"/>
          <w:sz w:val="32"/>
          <w:szCs w:val="32"/>
          <w:highlight w:val="none"/>
          <w:lang w:val="en-US" w:eastAsia="zh-CN"/>
        </w:rPr>
        <w:t>67</w:t>
      </w:r>
      <w:r>
        <w:rPr>
          <w:rFonts w:hint="eastAsia" w:ascii="仿宋_GB2312" w:eastAsia="仿宋_GB2312"/>
          <w:sz w:val="32"/>
          <w:szCs w:val="32"/>
          <w:highlight w:val="none"/>
        </w:rPr>
        <w:t>人，事业在职</w:t>
      </w:r>
      <w:r>
        <w:rPr>
          <w:rFonts w:hint="eastAsia" w:ascii="仿宋_GB2312" w:eastAsia="仿宋_GB2312"/>
          <w:sz w:val="32"/>
          <w:szCs w:val="32"/>
          <w:highlight w:val="none"/>
          <w:lang w:val="en-US" w:eastAsia="zh-CN"/>
        </w:rPr>
        <w:t>101</w:t>
      </w:r>
      <w:r>
        <w:rPr>
          <w:rFonts w:hint="eastAsia" w:ascii="仿宋_GB2312" w:eastAsia="仿宋_GB2312"/>
          <w:sz w:val="32"/>
          <w:szCs w:val="32"/>
          <w:highlight w:val="none"/>
        </w:rPr>
        <w:t>人。</w:t>
      </w:r>
    </w:p>
    <w:p w14:paraId="044AA8F3">
      <w:pPr>
        <w:spacing w:line="540" w:lineRule="exact"/>
        <w:ind w:firstLine="640" w:firstLineChars="200"/>
        <w:rPr>
          <w:rFonts w:ascii="仿宋_GB2312" w:eastAsia="仿宋_GB2312"/>
          <w:spacing w:val="-6"/>
          <w:sz w:val="32"/>
          <w:szCs w:val="32"/>
          <w:highlight w:val="none"/>
        </w:rPr>
      </w:pPr>
      <w:r>
        <w:rPr>
          <w:rFonts w:hint="eastAsia" w:ascii="仿宋_GB2312" w:eastAsia="仿宋_GB2312"/>
          <w:sz w:val="32"/>
          <w:szCs w:val="32"/>
          <w:highlight w:val="none"/>
        </w:rPr>
        <w:t>纳入</w:t>
      </w:r>
      <w:r>
        <w:rPr>
          <w:rFonts w:hint="eastAsia" w:ascii="仿宋_GB2312" w:eastAsia="仿宋_GB2312"/>
          <w:sz w:val="32"/>
          <w:szCs w:val="32"/>
          <w:highlight w:val="none"/>
          <w:lang w:eastAsia="zh-CN"/>
        </w:rPr>
        <w:t>吉木萨尔县自然资源局部门决算2019年</w:t>
      </w:r>
      <w:r>
        <w:rPr>
          <w:rFonts w:hint="eastAsia" w:ascii="仿宋_GB2312" w:eastAsia="仿宋_GB2312"/>
          <w:sz w:val="32"/>
          <w:szCs w:val="32"/>
          <w:highlight w:val="none"/>
        </w:rPr>
        <w:t>部门决算编制范围的单位名单见下表</w:t>
      </w:r>
      <w:r>
        <w:rPr>
          <w:rFonts w:hint="eastAsia" w:ascii="仿宋_GB2312" w:eastAsia="仿宋_GB2312"/>
          <w:spacing w:val="-6"/>
          <w:sz w:val="32"/>
          <w:szCs w:val="32"/>
          <w:highlight w:val="none"/>
        </w:rPr>
        <w:t>：</w:t>
      </w:r>
    </w:p>
    <w:p w14:paraId="03C9B3CA">
      <w:pPr>
        <w:spacing w:line="500" w:lineRule="exact"/>
        <w:ind w:firstLine="616" w:firstLineChars="200"/>
        <w:rPr>
          <w:rFonts w:ascii="仿宋_GB2312" w:eastAsia="仿宋_GB2312"/>
          <w:spacing w:val="-6"/>
          <w:sz w:val="32"/>
          <w:szCs w:val="32"/>
          <w:highlight w:val="none"/>
        </w:rPr>
      </w:pPr>
    </w:p>
    <w:tbl>
      <w:tblPr>
        <w:tblStyle w:val="5"/>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7512"/>
        <w:gridCol w:w="964"/>
      </w:tblGrid>
      <w:tr w14:paraId="5E1E4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8" w:type="dxa"/>
            <w:vAlign w:val="center"/>
          </w:tcPr>
          <w:p w14:paraId="6058D457">
            <w:pPr>
              <w:spacing w:line="500" w:lineRule="exact"/>
              <w:rPr>
                <w:rFonts w:ascii="仿宋_GB2312" w:eastAsia="仿宋_GB2312"/>
                <w:sz w:val="32"/>
                <w:szCs w:val="32"/>
                <w:highlight w:val="none"/>
              </w:rPr>
            </w:pPr>
            <w:r>
              <w:rPr>
                <w:rFonts w:hint="eastAsia" w:ascii="仿宋_GB2312" w:eastAsia="仿宋_GB2312"/>
                <w:sz w:val="32"/>
                <w:szCs w:val="32"/>
                <w:highlight w:val="none"/>
              </w:rPr>
              <w:t>序号</w:t>
            </w:r>
          </w:p>
        </w:tc>
        <w:tc>
          <w:tcPr>
            <w:tcW w:w="7512" w:type="dxa"/>
            <w:vAlign w:val="center"/>
          </w:tcPr>
          <w:p w14:paraId="388C6D64">
            <w:pPr>
              <w:spacing w:line="50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 xml:space="preserve">              单位名称</w:t>
            </w:r>
          </w:p>
        </w:tc>
        <w:tc>
          <w:tcPr>
            <w:tcW w:w="964" w:type="dxa"/>
            <w:vAlign w:val="center"/>
          </w:tcPr>
          <w:p w14:paraId="361394BB">
            <w:pPr>
              <w:spacing w:line="500" w:lineRule="exact"/>
              <w:rPr>
                <w:rFonts w:ascii="仿宋_GB2312" w:eastAsia="仿宋_GB2312"/>
                <w:sz w:val="32"/>
                <w:szCs w:val="32"/>
                <w:highlight w:val="none"/>
              </w:rPr>
            </w:pPr>
            <w:r>
              <w:rPr>
                <w:rFonts w:hint="eastAsia" w:ascii="仿宋_GB2312" w:eastAsia="仿宋_GB2312"/>
                <w:sz w:val="32"/>
                <w:szCs w:val="32"/>
                <w:highlight w:val="none"/>
              </w:rPr>
              <w:t>备注</w:t>
            </w:r>
          </w:p>
        </w:tc>
      </w:tr>
      <w:tr w14:paraId="11163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8" w:type="dxa"/>
            <w:vAlign w:val="center"/>
          </w:tcPr>
          <w:p w14:paraId="082E015A">
            <w:pPr>
              <w:spacing w:line="500" w:lineRule="exact"/>
              <w:jc w:val="center"/>
              <w:rPr>
                <w:rFonts w:ascii="仿宋_GB2312" w:eastAsia="仿宋_GB2312"/>
                <w:sz w:val="32"/>
                <w:szCs w:val="32"/>
                <w:highlight w:val="none"/>
              </w:rPr>
            </w:pPr>
            <w:r>
              <w:rPr>
                <w:rFonts w:hint="eastAsia" w:ascii="仿宋_GB2312" w:eastAsia="仿宋_GB2312"/>
                <w:sz w:val="32"/>
                <w:szCs w:val="32"/>
                <w:highlight w:val="none"/>
              </w:rPr>
              <w:t>1</w:t>
            </w:r>
          </w:p>
        </w:tc>
        <w:tc>
          <w:tcPr>
            <w:tcW w:w="7512" w:type="dxa"/>
            <w:vAlign w:val="center"/>
          </w:tcPr>
          <w:p w14:paraId="75471849">
            <w:pPr>
              <w:spacing w:line="500" w:lineRule="exact"/>
              <w:rPr>
                <w:rFonts w:ascii="仿宋_GB2312" w:eastAsia="仿宋_GB2312"/>
                <w:sz w:val="32"/>
                <w:szCs w:val="32"/>
                <w:highlight w:val="none"/>
              </w:rPr>
            </w:pPr>
            <w:r>
              <w:rPr>
                <w:rFonts w:hint="eastAsia" w:ascii="仿宋_GB2312" w:eastAsia="仿宋_GB2312"/>
                <w:sz w:val="32"/>
                <w:szCs w:val="32"/>
                <w:highlight w:val="none"/>
                <w:lang w:eastAsia="zh-CN"/>
              </w:rPr>
              <w:t>吉木萨尔县自然资源局</w:t>
            </w:r>
            <w:r>
              <w:rPr>
                <w:rFonts w:hint="eastAsia" w:ascii="仿宋_GB2312" w:eastAsia="仿宋_GB2312"/>
                <w:sz w:val="32"/>
                <w:szCs w:val="32"/>
                <w:highlight w:val="none"/>
              </w:rPr>
              <w:t>部门决算</w:t>
            </w:r>
          </w:p>
        </w:tc>
        <w:tc>
          <w:tcPr>
            <w:tcW w:w="964" w:type="dxa"/>
            <w:vAlign w:val="center"/>
          </w:tcPr>
          <w:p w14:paraId="57DA8C30">
            <w:pPr>
              <w:spacing w:line="500" w:lineRule="exact"/>
              <w:rPr>
                <w:rFonts w:ascii="仿宋_GB2312" w:eastAsia="仿宋_GB2312"/>
                <w:sz w:val="32"/>
                <w:szCs w:val="32"/>
                <w:highlight w:val="none"/>
              </w:rPr>
            </w:pPr>
          </w:p>
        </w:tc>
      </w:tr>
      <w:tr w14:paraId="7114A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8" w:type="dxa"/>
            <w:vAlign w:val="center"/>
          </w:tcPr>
          <w:p w14:paraId="371202B5">
            <w:pPr>
              <w:spacing w:line="500" w:lineRule="exact"/>
              <w:jc w:val="center"/>
              <w:rPr>
                <w:rFonts w:ascii="仿宋_GB2312" w:eastAsia="仿宋_GB2312"/>
                <w:sz w:val="32"/>
                <w:szCs w:val="32"/>
                <w:highlight w:val="none"/>
              </w:rPr>
            </w:pPr>
          </w:p>
        </w:tc>
        <w:tc>
          <w:tcPr>
            <w:tcW w:w="7512" w:type="dxa"/>
            <w:vAlign w:val="center"/>
          </w:tcPr>
          <w:p w14:paraId="4D787FBB">
            <w:pPr>
              <w:spacing w:line="500" w:lineRule="exact"/>
              <w:rPr>
                <w:rFonts w:hint="eastAsia" w:ascii="仿宋_GB2312" w:eastAsia="仿宋_GB2312"/>
                <w:sz w:val="32"/>
                <w:szCs w:val="32"/>
                <w:highlight w:val="none"/>
                <w:lang w:eastAsia="zh-CN"/>
              </w:rPr>
            </w:pPr>
          </w:p>
        </w:tc>
        <w:tc>
          <w:tcPr>
            <w:tcW w:w="964" w:type="dxa"/>
            <w:vAlign w:val="center"/>
          </w:tcPr>
          <w:p w14:paraId="673096AF">
            <w:pPr>
              <w:spacing w:line="500" w:lineRule="exact"/>
              <w:rPr>
                <w:rFonts w:ascii="仿宋_GB2312" w:eastAsia="仿宋_GB2312"/>
                <w:sz w:val="32"/>
                <w:szCs w:val="32"/>
                <w:highlight w:val="none"/>
              </w:rPr>
            </w:pPr>
          </w:p>
        </w:tc>
      </w:tr>
      <w:tr w14:paraId="552B5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8" w:type="dxa"/>
            <w:vAlign w:val="center"/>
          </w:tcPr>
          <w:p w14:paraId="3AB0EB99">
            <w:pPr>
              <w:spacing w:line="500" w:lineRule="exact"/>
              <w:jc w:val="center"/>
              <w:rPr>
                <w:rFonts w:ascii="仿宋_GB2312" w:eastAsia="仿宋_GB2312"/>
                <w:sz w:val="32"/>
                <w:szCs w:val="32"/>
                <w:highlight w:val="none"/>
              </w:rPr>
            </w:pPr>
          </w:p>
        </w:tc>
        <w:tc>
          <w:tcPr>
            <w:tcW w:w="7512" w:type="dxa"/>
            <w:vAlign w:val="center"/>
          </w:tcPr>
          <w:p w14:paraId="225FA1C9">
            <w:pPr>
              <w:spacing w:line="500" w:lineRule="exact"/>
              <w:rPr>
                <w:rFonts w:ascii="仿宋_GB2312" w:eastAsia="仿宋_GB2312"/>
                <w:sz w:val="32"/>
                <w:szCs w:val="32"/>
                <w:highlight w:val="none"/>
              </w:rPr>
            </w:pPr>
          </w:p>
        </w:tc>
        <w:tc>
          <w:tcPr>
            <w:tcW w:w="964" w:type="dxa"/>
            <w:vAlign w:val="center"/>
          </w:tcPr>
          <w:p w14:paraId="78D302AD">
            <w:pPr>
              <w:spacing w:line="500" w:lineRule="exact"/>
              <w:rPr>
                <w:rFonts w:ascii="仿宋_GB2312" w:eastAsia="仿宋_GB2312"/>
                <w:sz w:val="32"/>
                <w:szCs w:val="32"/>
                <w:highlight w:val="none"/>
              </w:rPr>
            </w:pPr>
          </w:p>
        </w:tc>
      </w:tr>
      <w:tr w14:paraId="1015F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8" w:type="dxa"/>
            <w:vAlign w:val="center"/>
          </w:tcPr>
          <w:p w14:paraId="3A5E104A">
            <w:pPr>
              <w:spacing w:line="500" w:lineRule="exact"/>
              <w:jc w:val="center"/>
              <w:rPr>
                <w:rFonts w:hint="eastAsia" w:ascii="仿宋_GB2312" w:eastAsia="仿宋_GB2312"/>
                <w:sz w:val="32"/>
                <w:szCs w:val="32"/>
                <w:highlight w:val="none"/>
                <w:lang w:val="en-US" w:eastAsia="zh-CN"/>
              </w:rPr>
            </w:pPr>
          </w:p>
        </w:tc>
        <w:tc>
          <w:tcPr>
            <w:tcW w:w="7512" w:type="dxa"/>
            <w:vAlign w:val="center"/>
          </w:tcPr>
          <w:p w14:paraId="552CA9D2">
            <w:pPr>
              <w:spacing w:line="500" w:lineRule="exact"/>
              <w:rPr>
                <w:rFonts w:ascii="仿宋_GB2312" w:eastAsia="仿宋_GB2312"/>
                <w:sz w:val="32"/>
                <w:szCs w:val="32"/>
                <w:highlight w:val="none"/>
              </w:rPr>
            </w:pPr>
          </w:p>
        </w:tc>
        <w:tc>
          <w:tcPr>
            <w:tcW w:w="964" w:type="dxa"/>
            <w:vAlign w:val="center"/>
          </w:tcPr>
          <w:p w14:paraId="7D5FD228">
            <w:pPr>
              <w:spacing w:line="500" w:lineRule="exact"/>
              <w:rPr>
                <w:rFonts w:ascii="仿宋_GB2312" w:eastAsia="仿宋_GB2312"/>
                <w:sz w:val="32"/>
                <w:szCs w:val="32"/>
                <w:highlight w:val="none"/>
              </w:rPr>
            </w:pPr>
          </w:p>
        </w:tc>
      </w:tr>
    </w:tbl>
    <w:p w14:paraId="52BC5693">
      <w:pPr>
        <w:spacing w:line="500" w:lineRule="exact"/>
        <w:ind w:firstLine="627"/>
        <w:jc w:val="center"/>
        <w:rPr>
          <w:rFonts w:ascii="仿宋_GB2312" w:hAnsi="宋体" w:eastAsia="仿宋_GB2312" w:cs="宋体"/>
          <w:kern w:val="0"/>
          <w:sz w:val="32"/>
          <w:szCs w:val="32"/>
          <w:highlight w:val="none"/>
        </w:rPr>
      </w:pPr>
    </w:p>
    <w:p w14:paraId="0F2A269E">
      <w:pPr>
        <w:spacing w:line="540" w:lineRule="exact"/>
        <w:jc w:val="center"/>
        <w:rPr>
          <w:rFonts w:ascii="黑体" w:hAnsi="黑体" w:eastAsia="黑体"/>
          <w:sz w:val="32"/>
          <w:szCs w:val="32"/>
          <w:highlight w:val="none"/>
        </w:rPr>
      </w:pPr>
      <w:r>
        <w:rPr>
          <w:rFonts w:hint="eastAsia" w:ascii="黑体" w:hAnsi="黑体" w:eastAsia="黑体"/>
          <w:sz w:val="32"/>
          <w:szCs w:val="32"/>
          <w:highlight w:val="none"/>
        </w:rPr>
        <w:t>第二部分 部门决算情况说明</w:t>
      </w:r>
    </w:p>
    <w:p w14:paraId="4AE455C9">
      <w:pPr>
        <w:spacing w:line="540" w:lineRule="exact"/>
        <w:ind w:firstLine="640" w:firstLineChars="200"/>
        <w:rPr>
          <w:rFonts w:ascii="黑体" w:hAnsi="黑体" w:eastAsia="黑体"/>
          <w:sz w:val="32"/>
          <w:szCs w:val="32"/>
          <w:highlight w:val="none"/>
        </w:rPr>
      </w:pPr>
      <w:r>
        <w:rPr>
          <w:rFonts w:hint="eastAsia" w:ascii="黑体" w:hAnsi="黑体" w:eastAsia="黑体"/>
          <w:sz w:val="32"/>
          <w:szCs w:val="32"/>
          <w:highlight w:val="none"/>
        </w:rPr>
        <w:t>一、部门收支总体情况</w:t>
      </w:r>
    </w:p>
    <w:p w14:paraId="50F9708F">
      <w:pPr>
        <w:spacing w:line="540" w:lineRule="exact"/>
        <w:ind w:firstLine="643" w:firstLineChars="200"/>
        <w:rPr>
          <w:rFonts w:ascii="楷体_GB2312" w:eastAsia="楷体_GB2312"/>
          <w:b/>
          <w:bCs/>
          <w:sz w:val="32"/>
          <w:szCs w:val="32"/>
          <w:highlight w:val="none"/>
        </w:rPr>
      </w:pPr>
      <w:r>
        <w:rPr>
          <w:rFonts w:hint="eastAsia" w:ascii="楷体_GB2312" w:eastAsia="楷体_GB2312"/>
          <w:b/>
          <w:bCs/>
          <w:sz w:val="32"/>
          <w:szCs w:val="32"/>
          <w:highlight w:val="none"/>
        </w:rPr>
        <w:t>（一）部门收入支出决算总体情况说明</w:t>
      </w:r>
    </w:p>
    <w:p w14:paraId="134B54C0">
      <w:pPr>
        <w:spacing w:line="540" w:lineRule="exact"/>
        <w:ind w:firstLine="640" w:firstLineChars="200"/>
        <w:rPr>
          <w:rFonts w:ascii="仿宋_GB2312" w:hAnsi="Calibri" w:eastAsia="仿宋_GB2312"/>
          <w:sz w:val="32"/>
          <w:szCs w:val="32"/>
          <w:highlight w:val="none"/>
          <w:lang w:val="en-GB"/>
        </w:rPr>
      </w:pPr>
      <w:r>
        <w:rPr>
          <w:rFonts w:hint="eastAsia" w:ascii="仿宋_GB2312" w:eastAsia="仿宋_GB2312"/>
          <w:sz w:val="32"/>
          <w:szCs w:val="32"/>
          <w:highlight w:val="none"/>
          <w:lang w:eastAsia="zh-CN"/>
        </w:rPr>
        <w:t>2019年</w:t>
      </w:r>
      <w:r>
        <w:rPr>
          <w:rFonts w:hint="eastAsia" w:ascii="仿宋_GB2312" w:eastAsia="仿宋_GB2312"/>
          <w:sz w:val="32"/>
          <w:szCs w:val="32"/>
          <w:highlight w:val="none"/>
        </w:rPr>
        <w:t>度收入12,371.51万元,与上年相比，</w:t>
      </w:r>
      <w:r>
        <w:rPr>
          <w:rFonts w:hint="eastAsia" w:ascii="仿宋_GB2312" w:eastAsia="仿宋_GB2312"/>
          <w:sz w:val="32"/>
          <w:szCs w:val="32"/>
          <w:highlight w:val="none"/>
          <w:lang w:eastAsia="zh-CN"/>
        </w:rPr>
        <w:t>增加10,264.42</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增长</w:t>
      </w:r>
      <w:r>
        <w:rPr>
          <w:rFonts w:hint="eastAsia" w:ascii="仿宋_GB2312" w:eastAsia="仿宋_GB2312"/>
          <w:sz w:val="32"/>
          <w:szCs w:val="32"/>
          <w:highlight w:val="none"/>
        </w:rPr>
        <w:t>487.14%，增减变化主要原因是：2019年国土局、林业局、规划局、草原站、草原监理所五个单位合并的新单位；支出8,574.44万元,与上年相比，</w:t>
      </w:r>
      <w:r>
        <w:rPr>
          <w:rFonts w:hint="eastAsia" w:ascii="仿宋_GB2312" w:eastAsia="仿宋_GB2312"/>
          <w:sz w:val="32"/>
          <w:szCs w:val="32"/>
          <w:highlight w:val="none"/>
          <w:lang w:eastAsia="zh-CN"/>
        </w:rPr>
        <w:t>增加6,488.76</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增长</w:t>
      </w:r>
      <w:r>
        <w:rPr>
          <w:rFonts w:hint="eastAsia" w:ascii="仿宋_GB2312" w:eastAsia="仿宋_GB2312"/>
          <w:sz w:val="32"/>
          <w:szCs w:val="32"/>
          <w:highlight w:val="none"/>
        </w:rPr>
        <w:t>311.11%，增减变化主要原因是：2019年国土局、林业局、规划局、草原站、草原监理所五个单位合并的新单位</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结余3,852.17万元，与上年相比，增加3,830.77万元，增长17,897.91%。增减变化主要原因是：</w:t>
      </w:r>
      <w:r>
        <w:rPr>
          <w:rFonts w:hint="eastAsia" w:ascii="仿宋_GB2312" w:eastAsia="仿宋_GB2312"/>
          <w:sz w:val="32"/>
          <w:szCs w:val="32"/>
          <w:highlight w:val="none"/>
          <w:lang w:eastAsia="zh-CN"/>
        </w:rPr>
        <w:t>五家单位合并，上年度草原监理所年末</w:t>
      </w:r>
      <w:r>
        <w:rPr>
          <w:rFonts w:hint="eastAsia" w:ascii="仿宋_GB2312" w:eastAsia="仿宋_GB2312"/>
          <w:sz w:val="32"/>
          <w:szCs w:val="32"/>
          <w:highlight w:val="none"/>
        </w:rPr>
        <w:t>草原安置补偿</w:t>
      </w:r>
      <w:r>
        <w:rPr>
          <w:rFonts w:hint="eastAsia" w:ascii="仿宋_GB2312" w:eastAsia="仿宋_GB2312"/>
          <w:sz w:val="32"/>
          <w:szCs w:val="32"/>
          <w:highlight w:val="none"/>
          <w:lang w:eastAsia="zh-CN"/>
        </w:rPr>
        <w:t>未使用，导致今年结余增加</w:t>
      </w:r>
      <w:r>
        <w:rPr>
          <w:rFonts w:hint="eastAsia" w:ascii="仿宋_GB2312" w:eastAsia="仿宋_GB2312"/>
          <w:sz w:val="32"/>
          <w:szCs w:val="32"/>
          <w:highlight w:val="none"/>
        </w:rPr>
        <w:t>。</w:t>
      </w:r>
    </w:p>
    <w:p w14:paraId="528E5778">
      <w:pPr>
        <w:spacing w:line="540" w:lineRule="exact"/>
        <w:ind w:firstLine="643" w:firstLineChars="200"/>
        <w:rPr>
          <w:rFonts w:ascii="楷体_GB2312" w:eastAsia="楷体_GB2312"/>
          <w:b/>
          <w:bCs/>
          <w:sz w:val="32"/>
          <w:szCs w:val="32"/>
          <w:highlight w:val="none"/>
        </w:rPr>
      </w:pPr>
      <w:r>
        <w:rPr>
          <w:rFonts w:hint="eastAsia" w:ascii="楷体_GB2312" w:eastAsia="楷体_GB2312"/>
          <w:b/>
          <w:bCs/>
          <w:sz w:val="32"/>
          <w:szCs w:val="32"/>
          <w:highlight w:val="none"/>
        </w:rPr>
        <w:t>（二）部门收入总体情况说明</w:t>
      </w:r>
    </w:p>
    <w:p w14:paraId="3FD52C9D">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本年收入合计12,371.51万元，其中：财政拨款收入</w:t>
      </w:r>
      <w:r>
        <w:rPr>
          <w:rFonts w:hint="eastAsia" w:ascii="仿宋_GB2312" w:eastAsia="仿宋_GB2312"/>
          <w:sz w:val="32"/>
          <w:szCs w:val="32"/>
          <w:highlight w:val="none"/>
          <w:lang w:eastAsia="zh-CN"/>
        </w:rPr>
        <w:t>5,109.55</w:t>
      </w:r>
      <w:r>
        <w:rPr>
          <w:rFonts w:hint="eastAsia" w:ascii="仿宋_GB2312" w:eastAsia="仿宋_GB2312"/>
          <w:sz w:val="32"/>
          <w:szCs w:val="32"/>
          <w:highlight w:val="none"/>
        </w:rPr>
        <w:t>万元，占</w:t>
      </w:r>
      <w:r>
        <w:rPr>
          <w:rFonts w:hint="eastAsia" w:ascii="仿宋_GB2312" w:eastAsia="仿宋_GB2312"/>
          <w:sz w:val="32"/>
          <w:szCs w:val="32"/>
          <w:highlight w:val="none"/>
          <w:lang w:eastAsia="zh-CN"/>
        </w:rPr>
        <w:t>41.30</w:t>
      </w:r>
      <w:r>
        <w:rPr>
          <w:rFonts w:hint="eastAsia" w:ascii="仿宋_GB2312" w:eastAsia="仿宋_GB2312"/>
          <w:sz w:val="32"/>
          <w:szCs w:val="32"/>
          <w:highlight w:val="none"/>
        </w:rPr>
        <w:t>%；上级补助收入0.00万元，占0.00%；事业收入0.00万元，占0.00%；经营收入0.00万元，占0.00%；附属单位缴款0.00万元，占0.00%；其他收入</w:t>
      </w:r>
      <w:r>
        <w:rPr>
          <w:rFonts w:hint="eastAsia" w:ascii="仿宋_GB2312" w:eastAsia="仿宋_GB2312"/>
          <w:sz w:val="32"/>
          <w:szCs w:val="32"/>
          <w:highlight w:val="none"/>
          <w:lang w:eastAsia="zh-CN"/>
        </w:rPr>
        <w:t>7,261.96</w:t>
      </w:r>
      <w:r>
        <w:rPr>
          <w:rFonts w:hint="eastAsia" w:ascii="仿宋_GB2312" w:eastAsia="仿宋_GB2312"/>
          <w:sz w:val="32"/>
          <w:szCs w:val="32"/>
          <w:highlight w:val="none"/>
        </w:rPr>
        <w:t>万元，占58.70%。</w:t>
      </w:r>
    </w:p>
    <w:p w14:paraId="4B6575A2">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与年初预算数相比情况：本年收入年初预算数</w:t>
      </w:r>
      <w:r>
        <w:rPr>
          <w:rFonts w:hint="eastAsia" w:ascii="仿宋_GB2312" w:eastAsia="仿宋_GB2312"/>
          <w:sz w:val="32"/>
          <w:szCs w:val="32"/>
          <w:highlight w:val="none"/>
          <w:lang w:eastAsia="zh-CN"/>
        </w:rPr>
        <w:t>1,713.45</w:t>
      </w:r>
      <w:r>
        <w:rPr>
          <w:rFonts w:hint="eastAsia" w:ascii="仿宋_GB2312" w:eastAsia="仿宋_GB2312"/>
          <w:sz w:val="32"/>
          <w:szCs w:val="32"/>
          <w:highlight w:val="none"/>
        </w:rPr>
        <w:t>万元，决算数</w:t>
      </w:r>
      <w:r>
        <w:rPr>
          <w:rFonts w:hint="eastAsia" w:ascii="仿宋_GB2312" w:eastAsia="仿宋_GB2312"/>
          <w:sz w:val="32"/>
          <w:szCs w:val="32"/>
          <w:highlight w:val="none"/>
          <w:lang w:eastAsia="zh-CN"/>
        </w:rPr>
        <w:t>12,371.51</w:t>
      </w:r>
      <w:r>
        <w:rPr>
          <w:rFonts w:hint="eastAsia" w:ascii="仿宋_GB2312" w:eastAsia="仿宋_GB2312"/>
          <w:sz w:val="32"/>
          <w:szCs w:val="32"/>
          <w:highlight w:val="none"/>
        </w:rPr>
        <w:t>万元，预决算差异率</w:t>
      </w:r>
      <w:r>
        <w:rPr>
          <w:rFonts w:hint="eastAsia" w:ascii="仿宋_GB2312" w:eastAsia="仿宋_GB2312"/>
          <w:sz w:val="32"/>
          <w:szCs w:val="32"/>
          <w:highlight w:val="none"/>
          <w:lang w:eastAsia="zh-CN"/>
        </w:rPr>
        <w:t>622.02</w:t>
      </w:r>
      <w:r>
        <w:rPr>
          <w:rFonts w:hint="eastAsia" w:ascii="仿宋_GB2312" w:eastAsia="仿宋_GB2312"/>
          <w:sz w:val="32"/>
          <w:szCs w:val="32"/>
          <w:highlight w:val="none"/>
        </w:rPr>
        <w:t>%，差异主要原因非本级拨款指组织部拨款访惠聚经费。</w:t>
      </w:r>
      <w:r>
        <w:rPr>
          <w:rFonts w:hint="eastAsia" w:ascii="仿宋_GB2312" w:eastAsia="仿宋_GB2312"/>
          <w:sz w:val="32"/>
          <w:szCs w:val="32"/>
          <w:highlight w:val="none"/>
          <w:lang w:eastAsia="zh-CN"/>
        </w:rPr>
        <w:t>年初未做预算，年中追加项目经费，导致预决算差异率较大</w:t>
      </w:r>
      <w:r>
        <w:rPr>
          <w:rFonts w:hint="eastAsia" w:ascii="仿宋_GB2312" w:eastAsia="仿宋_GB2312"/>
          <w:sz w:val="32"/>
          <w:szCs w:val="32"/>
          <w:highlight w:val="none"/>
        </w:rPr>
        <w:t>。</w:t>
      </w:r>
    </w:p>
    <w:p w14:paraId="2384AD49">
      <w:pPr>
        <w:spacing w:line="540" w:lineRule="exact"/>
        <w:ind w:firstLine="643" w:firstLineChars="200"/>
        <w:rPr>
          <w:rFonts w:ascii="楷体_GB2312" w:eastAsia="楷体_GB2312"/>
          <w:b/>
          <w:bCs/>
          <w:sz w:val="32"/>
          <w:szCs w:val="32"/>
          <w:highlight w:val="none"/>
        </w:rPr>
      </w:pPr>
      <w:r>
        <w:rPr>
          <w:rFonts w:hint="eastAsia" w:ascii="楷体_GB2312" w:eastAsia="楷体_GB2312"/>
          <w:b/>
          <w:bCs/>
          <w:sz w:val="32"/>
          <w:szCs w:val="32"/>
          <w:highlight w:val="none"/>
        </w:rPr>
        <w:t>（三）部门支出总体情况说明</w:t>
      </w:r>
    </w:p>
    <w:p w14:paraId="377BC285">
      <w:pPr>
        <w:spacing w:line="540" w:lineRule="exact"/>
        <w:ind w:firstLine="640" w:firstLineChars="200"/>
        <w:rPr>
          <w:rFonts w:hint="eastAsia" w:ascii="仿宋_GB2312" w:eastAsia="仿宋_GB2312"/>
          <w:spacing w:val="-6"/>
          <w:sz w:val="32"/>
          <w:szCs w:val="32"/>
          <w:highlight w:val="none"/>
        </w:rPr>
      </w:pPr>
      <w:r>
        <w:rPr>
          <w:rFonts w:hint="eastAsia" w:ascii="仿宋_GB2312" w:eastAsia="仿宋_GB2312"/>
          <w:sz w:val="32"/>
          <w:szCs w:val="32"/>
          <w:highlight w:val="none"/>
        </w:rPr>
        <w:t>本年支出合计8,574.44万元，其中：基本支出5,095.81万元，占59.43%；项目支出3,478.63万元，占40.57%；上缴上级支出0.00万元，占0.00%；</w:t>
      </w:r>
      <w:r>
        <w:rPr>
          <w:rFonts w:hint="eastAsia" w:ascii="仿宋_GB2312" w:eastAsia="仿宋_GB2312"/>
          <w:spacing w:val="-6"/>
          <w:sz w:val="32"/>
          <w:szCs w:val="32"/>
          <w:highlight w:val="none"/>
        </w:rPr>
        <w:t>经营支出0.00万元，占0.00%；对附属单位补助支出0.00万元，占0.00%。</w:t>
      </w:r>
    </w:p>
    <w:p w14:paraId="2ED9D8B4">
      <w:pPr>
        <w:numPr>
          <w:ilvl w:val="0"/>
          <w:numId w:val="0"/>
        </w:numPr>
        <w:spacing w:line="540" w:lineRule="exact"/>
        <w:ind w:leftChars="0" w:firstLine="640" w:firstLineChars="200"/>
        <w:rPr>
          <w:rFonts w:ascii="仿宋_GB2312" w:eastAsia="仿宋_GB2312"/>
          <w:sz w:val="32"/>
          <w:szCs w:val="32"/>
          <w:highlight w:val="none"/>
        </w:rPr>
      </w:pPr>
      <w:r>
        <w:rPr>
          <w:rFonts w:hint="eastAsia" w:ascii="仿宋_GB2312" w:eastAsia="仿宋_GB2312"/>
          <w:sz w:val="32"/>
          <w:szCs w:val="32"/>
          <w:highlight w:val="none"/>
        </w:rPr>
        <w:t>与年初预算数相比情况：本年支出年初预算数</w:t>
      </w:r>
      <w:r>
        <w:rPr>
          <w:rFonts w:hint="eastAsia" w:ascii="仿宋_GB2312" w:eastAsia="仿宋_GB2312"/>
          <w:sz w:val="32"/>
          <w:szCs w:val="32"/>
          <w:highlight w:val="none"/>
          <w:lang w:eastAsia="zh-CN"/>
        </w:rPr>
        <w:t>1,713.45</w:t>
      </w:r>
      <w:r>
        <w:rPr>
          <w:rFonts w:hint="eastAsia" w:ascii="仿宋_GB2312" w:eastAsia="仿宋_GB2312"/>
          <w:sz w:val="32"/>
          <w:szCs w:val="32"/>
          <w:highlight w:val="none"/>
        </w:rPr>
        <w:t>万元，决算数</w:t>
      </w:r>
      <w:r>
        <w:rPr>
          <w:rFonts w:hint="eastAsia" w:ascii="仿宋_GB2312" w:eastAsia="仿宋_GB2312"/>
          <w:sz w:val="32"/>
          <w:szCs w:val="32"/>
          <w:highlight w:val="none"/>
          <w:lang w:eastAsia="zh-CN"/>
        </w:rPr>
        <w:t>8,574.44</w:t>
      </w:r>
      <w:r>
        <w:rPr>
          <w:rFonts w:hint="eastAsia" w:ascii="仿宋_GB2312" w:eastAsia="仿宋_GB2312"/>
          <w:sz w:val="32"/>
          <w:szCs w:val="32"/>
          <w:highlight w:val="none"/>
        </w:rPr>
        <w:t>万元，预决算差异率400.42%，差异主要原因非本级拨款指组织部拨款访惠聚经费。</w:t>
      </w:r>
      <w:r>
        <w:rPr>
          <w:rFonts w:hint="eastAsia" w:ascii="仿宋_GB2312" w:eastAsia="仿宋_GB2312"/>
          <w:sz w:val="32"/>
          <w:szCs w:val="32"/>
          <w:highlight w:val="none"/>
          <w:lang w:eastAsia="zh-CN"/>
        </w:rPr>
        <w:t>年初未做预算，年中追加项目经费，导致预决算差异率较大</w:t>
      </w:r>
      <w:r>
        <w:rPr>
          <w:rFonts w:hint="eastAsia" w:ascii="仿宋_GB2312" w:eastAsia="仿宋_GB2312"/>
          <w:sz w:val="32"/>
          <w:szCs w:val="32"/>
          <w:highlight w:val="none"/>
        </w:rPr>
        <w:t>。</w:t>
      </w:r>
    </w:p>
    <w:p w14:paraId="36359D2E">
      <w:pPr>
        <w:spacing w:line="540" w:lineRule="exact"/>
        <w:ind w:firstLine="640" w:firstLineChars="200"/>
        <w:rPr>
          <w:rFonts w:ascii="黑体" w:hAnsi="黑体" w:eastAsia="黑体"/>
          <w:sz w:val="32"/>
          <w:szCs w:val="32"/>
          <w:highlight w:val="none"/>
        </w:rPr>
      </w:pPr>
      <w:r>
        <w:rPr>
          <w:rFonts w:hint="eastAsia" w:ascii="黑体" w:hAnsi="黑体" w:eastAsia="黑体"/>
          <w:sz w:val="32"/>
          <w:szCs w:val="32"/>
          <w:highlight w:val="none"/>
        </w:rPr>
        <w:t>二、部门财政拨款收支情况</w:t>
      </w:r>
    </w:p>
    <w:p w14:paraId="25E02D21">
      <w:pPr>
        <w:spacing w:line="540" w:lineRule="exact"/>
        <w:ind w:firstLine="643" w:firstLineChars="200"/>
        <w:rPr>
          <w:rFonts w:ascii="楷体_GB2312" w:eastAsia="楷体_GB2312"/>
          <w:b/>
          <w:bCs/>
          <w:sz w:val="32"/>
          <w:szCs w:val="32"/>
          <w:highlight w:val="none"/>
        </w:rPr>
      </w:pPr>
      <w:r>
        <w:rPr>
          <w:rFonts w:hint="eastAsia" w:ascii="楷体_GB2312" w:eastAsia="楷体_GB2312"/>
          <w:b/>
          <w:bCs/>
          <w:sz w:val="32"/>
          <w:szCs w:val="32"/>
          <w:highlight w:val="none"/>
        </w:rPr>
        <w:t>（一）财政拨款收支总体情况说明</w:t>
      </w:r>
    </w:p>
    <w:p w14:paraId="1F70D8F4">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2019年</w:t>
      </w:r>
      <w:r>
        <w:rPr>
          <w:rFonts w:hint="eastAsia" w:ascii="仿宋_GB2312" w:eastAsia="仿宋_GB2312"/>
          <w:sz w:val="32"/>
          <w:szCs w:val="32"/>
          <w:highlight w:val="none"/>
        </w:rPr>
        <w:t>度财政拨款收入</w:t>
      </w:r>
      <w:r>
        <w:rPr>
          <w:rFonts w:hint="eastAsia" w:ascii="仿宋_GB2312" w:eastAsia="仿宋_GB2312"/>
          <w:sz w:val="32"/>
          <w:szCs w:val="32"/>
          <w:highlight w:val="none"/>
          <w:lang w:eastAsia="zh-CN"/>
        </w:rPr>
        <w:t>5,109.55</w:t>
      </w:r>
      <w:r>
        <w:rPr>
          <w:rFonts w:hint="eastAsia" w:ascii="仿宋_GB2312" w:eastAsia="仿宋_GB2312"/>
          <w:sz w:val="32"/>
          <w:szCs w:val="32"/>
          <w:highlight w:val="none"/>
        </w:rPr>
        <w:t>万元，与上年相比，</w:t>
      </w:r>
      <w:r>
        <w:rPr>
          <w:rFonts w:hint="eastAsia" w:ascii="仿宋_GB2312" w:eastAsia="仿宋_GB2312"/>
          <w:sz w:val="32"/>
          <w:szCs w:val="32"/>
          <w:highlight w:val="none"/>
          <w:lang w:eastAsia="zh-CN"/>
        </w:rPr>
        <w:t>增加3,071.26</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增长</w:t>
      </w:r>
      <w:r>
        <w:rPr>
          <w:rFonts w:hint="eastAsia" w:ascii="仿宋_GB2312" w:eastAsia="仿宋_GB2312"/>
          <w:sz w:val="32"/>
          <w:szCs w:val="32"/>
          <w:highlight w:val="none"/>
        </w:rPr>
        <w:t>150.68%。增减变化的主要原因是：2019年国土局、林业局、规划局、草原站、草原监理所五个单位合并的新单位</w:t>
      </w:r>
      <w:r>
        <w:rPr>
          <w:rFonts w:hint="eastAsia" w:ascii="仿宋_GB2312" w:eastAsia="仿宋_GB2312"/>
          <w:sz w:val="32"/>
          <w:szCs w:val="32"/>
          <w:highlight w:val="none"/>
          <w:lang w:eastAsia="zh-CN"/>
        </w:rPr>
        <w:t>，经费增加；</w:t>
      </w:r>
      <w:r>
        <w:rPr>
          <w:rFonts w:hint="eastAsia" w:ascii="仿宋_GB2312" w:eastAsia="仿宋_GB2312"/>
          <w:sz w:val="32"/>
          <w:szCs w:val="32"/>
          <w:highlight w:val="none"/>
        </w:rPr>
        <w:t>财政拨款支出</w:t>
      </w:r>
      <w:r>
        <w:rPr>
          <w:rFonts w:hint="eastAsia" w:ascii="仿宋_GB2312" w:eastAsia="仿宋_GB2312"/>
          <w:sz w:val="32"/>
          <w:szCs w:val="32"/>
          <w:highlight w:val="none"/>
          <w:lang w:eastAsia="zh-CN"/>
        </w:rPr>
        <w:t>5,109.55</w:t>
      </w:r>
      <w:r>
        <w:rPr>
          <w:rFonts w:hint="eastAsia" w:ascii="仿宋_GB2312" w:eastAsia="仿宋_GB2312"/>
          <w:sz w:val="32"/>
          <w:szCs w:val="32"/>
          <w:highlight w:val="none"/>
        </w:rPr>
        <w:t>万元，与上年相比，</w:t>
      </w:r>
      <w:r>
        <w:rPr>
          <w:rFonts w:hint="eastAsia" w:ascii="仿宋_GB2312" w:eastAsia="仿宋_GB2312"/>
          <w:sz w:val="32"/>
          <w:szCs w:val="32"/>
          <w:highlight w:val="none"/>
          <w:lang w:eastAsia="zh-CN"/>
        </w:rPr>
        <w:t>增加3,071.26</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增长</w:t>
      </w:r>
      <w:r>
        <w:rPr>
          <w:rFonts w:hint="eastAsia" w:ascii="仿宋_GB2312" w:eastAsia="仿宋_GB2312"/>
          <w:sz w:val="32"/>
          <w:szCs w:val="32"/>
          <w:highlight w:val="none"/>
        </w:rPr>
        <w:t>150.68%，增减变化的主要原因是：2019年国土局、林业局、规划局、草原站、草原监理所五个单位合并的新单位</w:t>
      </w:r>
      <w:r>
        <w:rPr>
          <w:rFonts w:hint="eastAsia" w:ascii="仿宋_GB2312" w:eastAsia="仿宋_GB2312"/>
          <w:sz w:val="32"/>
          <w:szCs w:val="32"/>
          <w:highlight w:val="none"/>
          <w:lang w:eastAsia="zh-CN"/>
        </w:rPr>
        <w:t>，经费增加；</w:t>
      </w:r>
      <w:r>
        <w:rPr>
          <w:rFonts w:hint="eastAsia" w:ascii="仿宋_GB2312" w:eastAsia="仿宋_GB2312"/>
          <w:sz w:val="32"/>
          <w:szCs w:val="32"/>
          <w:highlight w:val="none"/>
        </w:rPr>
        <w:t>其中：基本支出1,630.91万元，项目支出3,478.63万元。财政拨款结转结余</w:t>
      </w:r>
      <w:r>
        <w:rPr>
          <w:rFonts w:hint="eastAsia" w:ascii="仿宋_GB2312" w:eastAsia="仿宋_GB2312"/>
          <w:sz w:val="32"/>
          <w:szCs w:val="32"/>
          <w:highlight w:val="none"/>
          <w:lang w:val="en-US" w:eastAsia="zh-CN"/>
        </w:rPr>
        <w:t>33.70</w:t>
      </w:r>
      <w:r>
        <w:rPr>
          <w:rFonts w:hint="eastAsia" w:ascii="仿宋_GB2312" w:eastAsia="仿宋_GB2312"/>
          <w:sz w:val="32"/>
          <w:szCs w:val="32"/>
          <w:highlight w:val="none"/>
        </w:rPr>
        <w:t>万元，与上年相比，增加</w:t>
      </w:r>
      <w:r>
        <w:rPr>
          <w:rFonts w:hint="eastAsia" w:ascii="仿宋_GB2312" w:eastAsia="仿宋_GB2312"/>
          <w:sz w:val="32"/>
          <w:szCs w:val="32"/>
          <w:highlight w:val="none"/>
          <w:lang w:val="en-US" w:eastAsia="zh-CN"/>
        </w:rPr>
        <w:t>33.70</w:t>
      </w:r>
      <w:r>
        <w:rPr>
          <w:rFonts w:hint="eastAsia" w:ascii="仿宋_GB2312" w:eastAsia="仿宋_GB2312"/>
          <w:sz w:val="32"/>
          <w:szCs w:val="32"/>
          <w:highlight w:val="none"/>
        </w:rPr>
        <w:t>万元，增长</w:t>
      </w:r>
      <w:r>
        <w:rPr>
          <w:rFonts w:hint="eastAsia" w:ascii="仿宋_GB2312" w:eastAsia="仿宋_GB2312"/>
          <w:sz w:val="32"/>
          <w:szCs w:val="32"/>
          <w:highlight w:val="none"/>
          <w:lang w:val="en-US" w:eastAsia="zh-CN"/>
        </w:rPr>
        <w:t>100</w:t>
      </w:r>
      <w:r>
        <w:rPr>
          <w:rFonts w:hint="eastAsia" w:ascii="仿宋_GB2312" w:eastAsia="仿宋_GB2312"/>
          <w:sz w:val="32"/>
          <w:szCs w:val="32"/>
          <w:highlight w:val="none"/>
        </w:rPr>
        <w:t>%。增减变化的主要原因是：</w:t>
      </w:r>
      <w:r>
        <w:rPr>
          <w:rFonts w:hint="eastAsia" w:ascii="仿宋_GB2312" w:eastAsia="仿宋_GB2312"/>
          <w:sz w:val="32"/>
          <w:szCs w:val="32"/>
          <w:highlight w:val="none"/>
          <w:lang w:eastAsia="zh-CN"/>
        </w:rPr>
        <w:t>五家单位合并，上年度草原监理所年末</w:t>
      </w:r>
      <w:r>
        <w:rPr>
          <w:rFonts w:hint="eastAsia" w:ascii="仿宋_GB2312" w:eastAsia="仿宋_GB2312"/>
          <w:sz w:val="32"/>
          <w:szCs w:val="32"/>
          <w:highlight w:val="none"/>
        </w:rPr>
        <w:t>草原安置补偿</w:t>
      </w:r>
      <w:r>
        <w:rPr>
          <w:rFonts w:hint="eastAsia" w:ascii="仿宋_GB2312" w:eastAsia="仿宋_GB2312"/>
          <w:sz w:val="32"/>
          <w:szCs w:val="32"/>
          <w:highlight w:val="none"/>
          <w:lang w:eastAsia="zh-CN"/>
        </w:rPr>
        <w:t>未使用，导致今年结余增加</w:t>
      </w:r>
      <w:r>
        <w:rPr>
          <w:rFonts w:hint="eastAsia" w:ascii="仿宋_GB2312" w:eastAsia="仿宋_GB2312"/>
          <w:sz w:val="32"/>
          <w:szCs w:val="32"/>
          <w:highlight w:val="none"/>
        </w:rPr>
        <w:t>。</w:t>
      </w:r>
    </w:p>
    <w:p w14:paraId="0A6D4C06">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与年初预算数相比情况：财政拨款收入年初预算数</w:t>
      </w:r>
      <w:r>
        <w:rPr>
          <w:rFonts w:hint="eastAsia" w:ascii="仿宋_GB2312" w:eastAsia="仿宋_GB2312"/>
          <w:sz w:val="32"/>
          <w:szCs w:val="32"/>
          <w:highlight w:val="none"/>
          <w:lang w:eastAsia="zh-CN"/>
        </w:rPr>
        <w:t>1,713.45</w:t>
      </w:r>
      <w:r>
        <w:rPr>
          <w:rFonts w:hint="eastAsia" w:ascii="仿宋_GB2312" w:eastAsia="仿宋_GB2312"/>
          <w:sz w:val="32"/>
          <w:szCs w:val="32"/>
          <w:highlight w:val="none"/>
        </w:rPr>
        <w:t>万元，决算数</w:t>
      </w:r>
      <w:r>
        <w:rPr>
          <w:rFonts w:hint="eastAsia" w:ascii="仿宋_GB2312" w:eastAsia="仿宋_GB2312"/>
          <w:sz w:val="32"/>
          <w:szCs w:val="32"/>
          <w:highlight w:val="none"/>
          <w:lang w:eastAsia="zh-CN"/>
        </w:rPr>
        <w:t>5,109.55</w:t>
      </w:r>
      <w:r>
        <w:rPr>
          <w:rFonts w:hint="eastAsia" w:ascii="仿宋_GB2312" w:eastAsia="仿宋_GB2312"/>
          <w:sz w:val="32"/>
          <w:szCs w:val="32"/>
          <w:highlight w:val="none"/>
        </w:rPr>
        <w:t>万元，预决算差异率198.20%，差异主要原因</w:t>
      </w:r>
      <w:r>
        <w:rPr>
          <w:rFonts w:hint="eastAsia" w:ascii="仿宋_GB2312" w:eastAsia="仿宋_GB2312"/>
          <w:sz w:val="32"/>
          <w:szCs w:val="32"/>
          <w:highlight w:val="none"/>
          <w:lang w:eastAsia="zh-CN"/>
        </w:rPr>
        <w:t>年中追加征地和拆迁补偿支出项目、土地开发支出、清死树、育新苗等项目经费，导致预决算差异率较大。</w:t>
      </w:r>
      <w:r>
        <w:rPr>
          <w:rFonts w:hint="eastAsia" w:ascii="仿宋_GB2312" w:eastAsia="仿宋_GB2312"/>
          <w:sz w:val="32"/>
          <w:szCs w:val="32"/>
          <w:highlight w:val="none"/>
        </w:rPr>
        <w:t>财政拨款支出年初预算数</w:t>
      </w:r>
      <w:r>
        <w:rPr>
          <w:rFonts w:hint="eastAsia" w:ascii="仿宋_GB2312" w:eastAsia="仿宋_GB2312"/>
          <w:sz w:val="32"/>
          <w:szCs w:val="32"/>
          <w:highlight w:val="none"/>
          <w:lang w:eastAsia="zh-CN"/>
        </w:rPr>
        <w:t>1,713.45</w:t>
      </w:r>
      <w:r>
        <w:rPr>
          <w:rFonts w:hint="eastAsia" w:ascii="仿宋_GB2312" w:eastAsia="仿宋_GB2312"/>
          <w:sz w:val="32"/>
          <w:szCs w:val="32"/>
          <w:highlight w:val="none"/>
        </w:rPr>
        <w:t>万元，决算数</w:t>
      </w:r>
      <w:r>
        <w:rPr>
          <w:rFonts w:hint="eastAsia" w:ascii="仿宋_GB2312" w:eastAsia="仿宋_GB2312"/>
          <w:sz w:val="32"/>
          <w:szCs w:val="32"/>
          <w:highlight w:val="none"/>
          <w:lang w:eastAsia="zh-CN"/>
        </w:rPr>
        <w:t>5,109.55</w:t>
      </w:r>
      <w:r>
        <w:rPr>
          <w:rFonts w:hint="eastAsia" w:ascii="仿宋_GB2312" w:eastAsia="仿宋_GB2312"/>
          <w:sz w:val="32"/>
          <w:szCs w:val="32"/>
          <w:highlight w:val="none"/>
        </w:rPr>
        <w:t>万元，预决算差异率198.20%，差异主要原因</w:t>
      </w:r>
      <w:r>
        <w:rPr>
          <w:rFonts w:hint="eastAsia" w:ascii="仿宋_GB2312" w:eastAsia="仿宋_GB2312"/>
          <w:sz w:val="32"/>
          <w:szCs w:val="32"/>
          <w:highlight w:val="none"/>
          <w:lang w:eastAsia="zh-CN"/>
        </w:rPr>
        <w:t>年中追加征地和拆迁补偿支出项目、土地开发支出、清死树、育新苗等项目经费，导致预决算差异率较大</w:t>
      </w:r>
      <w:r>
        <w:rPr>
          <w:rFonts w:hint="eastAsia" w:ascii="仿宋_GB2312" w:eastAsia="仿宋_GB2312"/>
          <w:sz w:val="32"/>
          <w:szCs w:val="32"/>
          <w:highlight w:val="none"/>
        </w:rPr>
        <w:t>。</w:t>
      </w:r>
    </w:p>
    <w:p w14:paraId="241A2B94">
      <w:pPr>
        <w:spacing w:line="540" w:lineRule="exact"/>
        <w:ind w:firstLine="643" w:firstLineChars="200"/>
        <w:rPr>
          <w:rFonts w:ascii="楷体_GB2312" w:eastAsia="楷体_GB2312"/>
          <w:b/>
          <w:bCs/>
          <w:sz w:val="32"/>
          <w:szCs w:val="32"/>
          <w:highlight w:val="none"/>
        </w:rPr>
      </w:pPr>
      <w:r>
        <w:rPr>
          <w:rFonts w:hint="eastAsia" w:ascii="楷体_GB2312" w:eastAsia="楷体_GB2312"/>
          <w:b/>
          <w:bCs/>
          <w:sz w:val="32"/>
          <w:szCs w:val="32"/>
          <w:highlight w:val="none"/>
        </w:rPr>
        <w:t>（二）一般公共预算收支决算情况说明</w:t>
      </w:r>
    </w:p>
    <w:p w14:paraId="69E61608">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2019年</w:t>
      </w:r>
      <w:r>
        <w:rPr>
          <w:rFonts w:hint="eastAsia" w:ascii="仿宋_GB2312" w:eastAsia="仿宋_GB2312"/>
          <w:sz w:val="32"/>
          <w:szCs w:val="32"/>
          <w:highlight w:val="none"/>
        </w:rPr>
        <w:t>度一般公共预算财政拨款收入</w:t>
      </w:r>
      <w:r>
        <w:rPr>
          <w:rFonts w:hint="eastAsia" w:ascii="仿宋_GB2312" w:eastAsia="仿宋_GB2312"/>
          <w:sz w:val="32"/>
          <w:szCs w:val="32"/>
          <w:highlight w:val="none"/>
          <w:lang w:eastAsia="zh-CN"/>
        </w:rPr>
        <w:t>4,849.80</w:t>
      </w:r>
      <w:r>
        <w:rPr>
          <w:rFonts w:hint="eastAsia" w:ascii="仿宋_GB2312" w:eastAsia="仿宋_GB2312"/>
          <w:sz w:val="32"/>
          <w:szCs w:val="32"/>
          <w:highlight w:val="none"/>
        </w:rPr>
        <w:t>万元。与上年相比，</w:t>
      </w:r>
      <w:r>
        <w:rPr>
          <w:rFonts w:hint="eastAsia" w:ascii="仿宋_GB2312" w:eastAsia="仿宋_GB2312"/>
          <w:sz w:val="32"/>
          <w:szCs w:val="32"/>
          <w:highlight w:val="none"/>
          <w:lang w:eastAsia="zh-CN"/>
        </w:rPr>
        <w:t>增加</w:t>
      </w:r>
      <w:r>
        <w:rPr>
          <w:rFonts w:hint="eastAsia" w:ascii="仿宋_GB2312" w:eastAsia="仿宋_GB2312"/>
          <w:sz w:val="32"/>
          <w:szCs w:val="32"/>
          <w:highlight w:val="none"/>
        </w:rPr>
        <w:t>3,167.35万元，</w:t>
      </w:r>
      <w:r>
        <w:rPr>
          <w:rFonts w:hint="eastAsia" w:ascii="仿宋_GB2312" w:eastAsia="仿宋_GB2312"/>
          <w:sz w:val="32"/>
          <w:szCs w:val="32"/>
          <w:highlight w:val="none"/>
          <w:lang w:eastAsia="zh-CN"/>
        </w:rPr>
        <w:t>增长</w:t>
      </w:r>
      <w:r>
        <w:rPr>
          <w:rFonts w:hint="eastAsia" w:ascii="仿宋_GB2312" w:eastAsia="仿宋_GB2312"/>
          <w:sz w:val="32"/>
          <w:szCs w:val="32"/>
          <w:highlight w:val="none"/>
        </w:rPr>
        <w:t>188.26%。增减变化的主要原因是：2019年国土局、林业局、规划局、草原站、草原监理所五个单位合并的新单位</w:t>
      </w:r>
      <w:r>
        <w:rPr>
          <w:rFonts w:hint="eastAsia" w:ascii="仿宋_GB2312" w:eastAsia="仿宋_GB2312"/>
          <w:sz w:val="32"/>
          <w:szCs w:val="32"/>
          <w:highlight w:val="none"/>
          <w:lang w:eastAsia="zh-CN"/>
        </w:rPr>
        <w:t>，经费增加；</w:t>
      </w:r>
      <w:r>
        <w:rPr>
          <w:rFonts w:hint="eastAsia" w:ascii="仿宋_GB2312" w:eastAsia="仿宋_GB2312"/>
          <w:sz w:val="32"/>
          <w:szCs w:val="32"/>
          <w:highlight w:val="none"/>
        </w:rPr>
        <w:t>一般公共预算财政拨款支出</w:t>
      </w:r>
      <w:r>
        <w:rPr>
          <w:rFonts w:hint="eastAsia" w:ascii="仿宋_GB2312" w:eastAsia="仿宋_GB2312"/>
          <w:sz w:val="32"/>
          <w:szCs w:val="32"/>
          <w:highlight w:val="none"/>
          <w:lang w:eastAsia="zh-CN"/>
        </w:rPr>
        <w:t>4,849.80</w:t>
      </w:r>
      <w:r>
        <w:rPr>
          <w:rFonts w:hint="eastAsia" w:ascii="仿宋_GB2312" w:eastAsia="仿宋_GB2312"/>
          <w:sz w:val="32"/>
          <w:szCs w:val="32"/>
          <w:highlight w:val="none"/>
        </w:rPr>
        <w:t>万元。与上年相比，</w:t>
      </w:r>
      <w:r>
        <w:rPr>
          <w:rFonts w:hint="eastAsia" w:ascii="仿宋_GB2312" w:eastAsia="仿宋_GB2312"/>
          <w:sz w:val="32"/>
          <w:szCs w:val="32"/>
          <w:highlight w:val="none"/>
          <w:lang w:eastAsia="zh-CN"/>
        </w:rPr>
        <w:t>增加3,167.35</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增长188.26</w:t>
      </w:r>
      <w:r>
        <w:rPr>
          <w:rFonts w:hint="eastAsia" w:ascii="仿宋_GB2312" w:eastAsia="仿宋_GB2312"/>
          <w:sz w:val="32"/>
          <w:szCs w:val="32"/>
          <w:highlight w:val="none"/>
        </w:rPr>
        <w:t>%。增减变化的主要原因是：2019年国土局、林业局、规划局、草原站、草原监理所五个单位合并的新单位</w:t>
      </w:r>
      <w:r>
        <w:rPr>
          <w:rFonts w:hint="eastAsia" w:ascii="仿宋_GB2312" w:eastAsia="仿宋_GB2312"/>
          <w:sz w:val="32"/>
          <w:szCs w:val="32"/>
          <w:highlight w:val="none"/>
          <w:lang w:eastAsia="zh-CN"/>
        </w:rPr>
        <w:t>，经费增加；</w:t>
      </w:r>
      <w:r>
        <w:rPr>
          <w:rFonts w:hint="eastAsia" w:ascii="仿宋_GB2312" w:eastAsia="仿宋_GB2312"/>
          <w:sz w:val="32"/>
          <w:szCs w:val="32"/>
          <w:highlight w:val="none"/>
        </w:rPr>
        <w:t>其中：按功能分类科目（按类级科目公开），社会保障和就业支出178.21万元，卫生健康支出143.86万元，节能环保支出681.26</w:t>
      </w:r>
      <w:r>
        <w:rPr>
          <w:rFonts w:hint="eastAsia" w:ascii="仿宋_GB2312" w:eastAsia="仿宋_GB2312"/>
          <w:sz w:val="32"/>
          <w:szCs w:val="32"/>
          <w:highlight w:val="none"/>
          <w:lang w:eastAsia="zh-CN"/>
        </w:rPr>
        <w:t>万元，城乡社区</w:t>
      </w:r>
      <w:r>
        <w:rPr>
          <w:rFonts w:hint="eastAsia" w:ascii="仿宋_GB2312" w:eastAsia="仿宋_GB2312"/>
          <w:sz w:val="32"/>
          <w:szCs w:val="32"/>
          <w:highlight w:val="none"/>
        </w:rPr>
        <w:t>支出151.18万元，农林水支出2,668.17万元。按经济分类科目（按类级科目公开），工资福利支出1,560.17万元，商品和服务支出1,845.16万元，对个人和家庭的支出44.63万元，资本性支出</w:t>
      </w:r>
      <w:r>
        <w:rPr>
          <w:rFonts w:hint="eastAsia" w:ascii="仿宋_GB2312" w:eastAsia="仿宋_GB2312"/>
          <w:sz w:val="32"/>
          <w:szCs w:val="32"/>
          <w:highlight w:val="none"/>
          <w:lang w:eastAsia="zh-CN"/>
        </w:rPr>
        <w:t>1,399.84万元</w:t>
      </w:r>
      <w:r>
        <w:rPr>
          <w:rFonts w:hint="eastAsia" w:ascii="仿宋_GB2312" w:eastAsia="仿宋_GB2312"/>
          <w:sz w:val="32"/>
          <w:szCs w:val="32"/>
          <w:highlight w:val="none"/>
        </w:rPr>
        <w:t>。</w:t>
      </w:r>
    </w:p>
    <w:p w14:paraId="553BAC13">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与年初预算数相比情况：一般公共预算财政拨款收入年初预算数</w:t>
      </w:r>
      <w:r>
        <w:rPr>
          <w:rFonts w:hint="eastAsia" w:ascii="仿宋_GB2312" w:eastAsia="仿宋_GB2312"/>
          <w:sz w:val="32"/>
          <w:szCs w:val="32"/>
          <w:highlight w:val="none"/>
          <w:lang w:eastAsia="zh-CN"/>
        </w:rPr>
        <w:t>1,713.45</w:t>
      </w:r>
      <w:r>
        <w:rPr>
          <w:rFonts w:hint="eastAsia" w:ascii="仿宋_GB2312" w:eastAsia="仿宋_GB2312"/>
          <w:sz w:val="32"/>
          <w:szCs w:val="32"/>
          <w:highlight w:val="none"/>
        </w:rPr>
        <w:t>万元，决算数</w:t>
      </w:r>
      <w:r>
        <w:rPr>
          <w:rFonts w:hint="eastAsia" w:ascii="仿宋_GB2312" w:eastAsia="仿宋_GB2312"/>
          <w:sz w:val="32"/>
          <w:szCs w:val="32"/>
          <w:highlight w:val="none"/>
          <w:lang w:eastAsia="zh-CN"/>
        </w:rPr>
        <w:t>4,849.80</w:t>
      </w:r>
      <w:r>
        <w:rPr>
          <w:rFonts w:hint="eastAsia" w:ascii="仿宋_GB2312" w:eastAsia="仿宋_GB2312"/>
          <w:sz w:val="32"/>
          <w:szCs w:val="32"/>
          <w:highlight w:val="none"/>
        </w:rPr>
        <w:t>万元，预决算差异率183.04%，差异主要原因县</w:t>
      </w:r>
      <w:r>
        <w:rPr>
          <w:rFonts w:hint="eastAsia" w:ascii="仿宋_GB2312" w:eastAsia="仿宋_GB2312"/>
          <w:sz w:val="32"/>
          <w:szCs w:val="32"/>
          <w:highlight w:val="none"/>
          <w:lang w:eastAsia="zh-CN"/>
        </w:rPr>
        <w:t>年中追加清死树、育新苗等项目经费，导致预决算差异率较大。</w:t>
      </w:r>
      <w:r>
        <w:rPr>
          <w:rFonts w:hint="eastAsia" w:ascii="仿宋_GB2312" w:eastAsia="仿宋_GB2312"/>
          <w:sz w:val="32"/>
          <w:szCs w:val="32"/>
          <w:highlight w:val="none"/>
        </w:rPr>
        <w:t>一般公共预算财政拨款支出年初预算数</w:t>
      </w:r>
      <w:r>
        <w:rPr>
          <w:rFonts w:hint="eastAsia" w:ascii="仿宋_GB2312" w:eastAsia="仿宋_GB2312"/>
          <w:sz w:val="32"/>
          <w:szCs w:val="32"/>
          <w:highlight w:val="none"/>
          <w:lang w:eastAsia="zh-CN"/>
        </w:rPr>
        <w:t>1,713.45</w:t>
      </w:r>
      <w:r>
        <w:rPr>
          <w:rFonts w:hint="eastAsia" w:ascii="仿宋_GB2312" w:eastAsia="仿宋_GB2312"/>
          <w:sz w:val="32"/>
          <w:szCs w:val="32"/>
          <w:highlight w:val="none"/>
        </w:rPr>
        <w:t>万元，决算数</w:t>
      </w:r>
      <w:r>
        <w:rPr>
          <w:rFonts w:hint="eastAsia" w:ascii="仿宋_GB2312" w:eastAsia="仿宋_GB2312"/>
          <w:sz w:val="32"/>
          <w:szCs w:val="32"/>
          <w:highlight w:val="none"/>
          <w:lang w:eastAsia="zh-CN"/>
        </w:rPr>
        <w:t>4,849.80</w:t>
      </w:r>
      <w:r>
        <w:rPr>
          <w:rFonts w:hint="eastAsia" w:ascii="仿宋_GB2312" w:eastAsia="仿宋_GB2312"/>
          <w:sz w:val="32"/>
          <w:szCs w:val="32"/>
          <w:highlight w:val="none"/>
        </w:rPr>
        <w:t>万元，预决算差异率183.04%，差异主要原因县</w:t>
      </w:r>
      <w:r>
        <w:rPr>
          <w:rFonts w:hint="eastAsia" w:ascii="仿宋_GB2312" w:eastAsia="仿宋_GB2312"/>
          <w:sz w:val="32"/>
          <w:szCs w:val="32"/>
          <w:highlight w:val="none"/>
          <w:lang w:eastAsia="zh-CN"/>
        </w:rPr>
        <w:t>年中追加清死树、育新苗等项目经费，导致预决算差异率较大。</w:t>
      </w:r>
    </w:p>
    <w:p w14:paraId="438D1D60">
      <w:pPr>
        <w:spacing w:line="540" w:lineRule="exact"/>
        <w:ind w:firstLine="643" w:firstLineChars="200"/>
        <w:rPr>
          <w:rFonts w:ascii="楷体_GB2312" w:eastAsia="楷体_GB2312"/>
          <w:b/>
          <w:bCs/>
          <w:sz w:val="32"/>
          <w:szCs w:val="32"/>
          <w:highlight w:val="none"/>
        </w:rPr>
      </w:pPr>
      <w:r>
        <w:rPr>
          <w:rFonts w:hint="eastAsia" w:ascii="楷体_GB2312" w:eastAsia="楷体_GB2312"/>
          <w:b/>
          <w:bCs/>
          <w:sz w:val="32"/>
          <w:szCs w:val="32"/>
          <w:highlight w:val="none"/>
        </w:rPr>
        <w:t>（三）政府性基金预算收支决算情况说明</w:t>
      </w:r>
    </w:p>
    <w:p w14:paraId="444B632B">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eastAsia="zh-CN"/>
        </w:rPr>
        <w:t>2019年</w:t>
      </w:r>
      <w:r>
        <w:rPr>
          <w:rFonts w:hint="eastAsia" w:ascii="仿宋_GB2312" w:eastAsia="仿宋_GB2312"/>
          <w:sz w:val="32"/>
          <w:szCs w:val="32"/>
          <w:highlight w:val="none"/>
        </w:rPr>
        <w:t>度政府性基金预算财政拨款收入259.75万元，与上年相比，</w:t>
      </w:r>
      <w:r>
        <w:rPr>
          <w:rFonts w:hint="eastAsia" w:ascii="仿宋_GB2312" w:eastAsia="仿宋_GB2312"/>
          <w:sz w:val="32"/>
          <w:szCs w:val="32"/>
          <w:highlight w:val="none"/>
          <w:lang w:eastAsia="zh-CN"/>
        </w:rPr>
        <w:t>减少</w:t>
      </w:r>
      <w:r>
        <w:rPr>
          <w:rFonts w:hint="eastAsia" w:ascii="仿宋_GB2312" w:eastAsia="仿宋_GB2312"/>
          <w:sz w:val="32"/>
          <w:szCs w:val="32"/>
          <w:highlight w:val="none"/>
        </w:rPr>
        <w:t>96.10万元，</w:t>
      </w:r>
      <w:r>
        <w:rPr>
          <w:rFonts w:hint="eastAsia" w:ascii="仿宋_GB2312" w:eastAsia="仿宋_GB2312"/>
          <w:sz w:val="32"/>
          <w:szCs w:val="32"/>
          <w:highlight w:val="none"/>
          <w:lang w:eastAsia="zh-CN"/>
        </w:rPr>
        <w:t>下降</w:t>
      </w:r>
      <w:r>
        <w:rPr>
          <w:rFonts w:hint="eastAsia" w:ascii="仿宋_GB2312" w:eastAsia="仿宋_GB2312"/>
          <w:sz w:val="32"/>
          <w:szCs w:val="32"/>
          <w:highlight w:val="none"/>
        </w:rPr>
        <w:t>27.01%。增减变化的主要原因是：土地征面积少，补偿款减少。政府性基金预算财政拨款支出259.75万元，与上年相比，</w:t>
      </w:r>
      <w:r>
        <w:rPr>
          <w:rFonts w:hint="eastAsia" w:ascii="仿宋_GB2312" w:eastAsia="仿宋_GB2312"/>
          <w:sz w:val="32"/>
          <w:szCs w:val="32"/>
          <w:highlight w:val="none"/>
          <w:lang w:eastAsia="zh-CN"/>
        </w:rPr>
        <w:t>减少</w:t>
      </w:r>
      <w:r>
        <w:rPr>
          <w:rFonts w:hint="eastAsia" w:ascii="仿宋_GB2312" w:eastAsia="仿宋_GB2312"/>
          <w:sz w:val="32"/>
          <w:szCs w:val="32"/>
          <w:highlight w:val="none"/>
        </w:rPr>
        <w:t>96.10万元，</w:t>
      </w:r>
      <w:r>
        <w:rPr>
          <w:rFonts w:hint="eastAsia" w:ascii="仿宋_GB2312" w:eastAsia="仿宋_GB2312"/>
          <w:sz w:val="32"/>
          <w:szCs w:val="32"/>
          <w:highlight w:val="none"/>
          <w:lang w:eastAsia="zh-CN"/>
        </w:rPr>
        <w:t>下降</w:t>
      </w:r>
      <w:r>
        <w:rPr>
          <w:rFonts w:hint="eastAsia" w:ascii="仿宋_GB2312" w:eastAsia="仿宋_GB2312"/>
          <w:sz w:val="32"/>
          <w:szCs w:val="32"/>
          <w:highlight w:val="none"/>
        </w:rPr>
        <w:t>27.01%。增减变化的主要原因是：土地征面积少，补偿款减少。其中：按功能分类科目，</w:t>
      </w:r>
      <w:r>
        <w:rPr>
          <w:rFonts w:hint="eastAsia" w:ascii="仿宋_GB2312" w:eastAsia="仿宋_GB2312"/>
          <w:sz w:val="32"/>
          <w:szCs w:val="32"/>
          <w:highlight w:val="none"/>
          <w:lang w:eastAsia="zh-CN"/>
        </w:rPr>
        <w:t>城乡社区</w:t>
      </w:r>
      <w:r>
        <w:rPr>
          <w:rFonts w:hint="eastAsia" w:ascii="仿宋_GB2312" w:eastAsia="仿宋_GB2312"/>
          <w:sz w:val="32"/>
          <w:szCs w:val="32"/>
          <w:highlight w:val="none"/>
        </w:rPr>
        <w:t>支出</w:t>
      </w:r>
      <w:r>
        <w:rPr>
          <w:rFonts w:hint="eastAsia" w:ascii="仿宋_GB2312" w:eastAsia="仿宋_GB2312"/>
          <w:sz w:val="32"/>
          <w:szCs w:val="32"/>
          <w:highlight w:val="none"/>
          <w:lang w:val="en-US" w:eastAsia="zh-CN"/>
        </w:rPr>
        <w:t>259.75</w:t>
      </w:r>
      <w:r>
        <w:rPr>
          <w:rFonts w:hint="eastAsia" w:ascii="仿宋_GB2312" w:eastAsia="仿宋_GB2312"/>
          <w:sz w:val="32"/>
          <w:szCs w:val="32"/>
          <w:highlight w:val="none"/>
          <w:lang w:eastAsia="zh-CN"/>
        </w:rPr>
        <w:t>万元</w:t>
      </w:r>
      <w:r>
        <w:rPr>
          <w:rFonts w:hint="eastAsia" w:ascii="仿宋_GB2312" w:eastAsia="仿宋_GB2312"/>
          <w:sz w:val="32"/>
          <w:szCs w:val="32"/>
          <w:highlight w:val="none"/>
        </w:rPr>
        <w:t>。按经济分类科目，资本性支出</w:t>
      </w:r>
      <w:r>
        <w:rPr>
          <w:rFonts w:hint="eastAsia" w:ascii="仿宋_GB2312" w:eastAsia="仿宋_GB2312"/>
          <w:sz w:val="32"/>
          <w:szCs w:val="32"/>
          <w:highlight w:val="none"/>
          <w:lang w:eastAsia="zh-CN"/>
        </w:rPr>
        <w:t>259.75万元</w:t>
      </w:r>
      <w:r>
        <w:rPr>
          <w:rFonts w:hint="eastAsia" w:ascii="仿宋_GB2312" w:eastAsia="仿宋_GB2312"/>
          <w:sz w:val="32"/>
          <w:szCs w:val="32"/>
          <w:highlight w:val="none"/>
        </w:rPr>
        <w:t>。</w:t>
      </w:r>
    </w:p>
    <w:p w14:paraId="7B6C6A58">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与年初预算数相比情况：政府性基金预算财政拨款收入年初预</w:t>
      </w:r>
      <w:r>
        <w:rPr>
          <w:rFonts w:hint="eastAsia" w:ascii="仿宋_GB2312" w:eastAsia="仿宋_GB2312"/>
          <w:sz w:val="32"/>
          <w:szCs w:val="32"/>
          <w:highlight w:val="none"/>
          <w:lang w:eastAsia="zh-CN"/>
        </w:rPr>
        <w:t>算</w:t>
      </w:r>
      <w:r>
        <w:rPr>
          <w:rFonts w:hint="eastAsia" w:ascii="仿宋_GB2312" w:eastAsia="仿宋_GB2312"/>
          <w:sz w:val="32"/>
          <w:szCs w:val="32"/>
          <w:highlight w:val="none"/>
        </w:rPr>
        <w:t>数0万元，决算数259.75万元，预决算差异率</w:t>
      </w:r>
      <w:r>
        <w:rPr>
          <w:rFonts w:hint="eastAsia" w:ascii="仿宋_GB2312" w:eastAsia="仿宋_GB2312"/>
          <w:sz w:val="32"/>
          <w:szCs w:val="32"/>
          <w:highlight w:val="none"/>
          <w:lang w:val="en-US" w:eastAsia="zh-CN"/>
        </w:rPr>
        <w:t>10</w:t>
      </w:r>
      <w:r>
        <w:rPr>
          <w:rFonts w:hint="eastAsia" w:ascii="仿宋_GB2312" w:eastAsia="仿宋_GB2312"/>
          <w:sz w:val="32"/>
          <w:szCs w:val="32"/>
          <w:highlight w:val="none"/>
        </w:rPr>
        <w:t>0%，差异主要原因</w:t>
      </w:r>
      <w:r>
        <w:rPr>
          <w:rFonts w:hint="eastAsia" w:ascii="仿宋_GB2312" w:eastAsia="仿宋_GB2312"/>
          <w:sz w:val="32"/>
          <w:szCs w:val="32"/>
          <w:highlight w:val="none"/>
          <w:lang w:eastAsia="zh-CN"/>
        </w:rPr>
        <w:t>年中追加征地和拆迁补偿支出项目、土地开发支出等项目经费，导致预决算差异率较大</w:t>
      </w:r>
      <w:r>
        <w:rPr>
          <w:rFonts w:hint="eastAsia" w:ascii="仿宋_GB2312" w:eastAsia="仿宋_GB2312"/>
          <w:sz w:val="32"/>
          <w:szCs w:val="32"/>
          <w:highlight w:val="none"/>
        </w:rPr>
        <w:t>。政府性基金预算财政拨款支出年初预算数0万元，决算数259.75万元，预决算差异率</w:t>
      </w:r>
      <w:r>
        <w:rPr>
          <w:rFonts w:hint="eastAsia" w:ascii="仿宋_GB2312" w:eastAsia="仿宋_GB2312"/>
          <w:sz w:val="32"/>
          <w:szCs w:val="32"/>
          <w:highlight w:val="none"/>
          <w:lang w:val="en-US" w:eastAsia="zh-CN"/>
        </w:rPr>
        <w:t>10</w:t>
      </w:r>
      <w:r>
        <w:rPr>
          <w:rFonts w:hint="eastAsia" w:ascii="仿宋_GB2312" w:eastAsia="仿宋_GB2312"/>
          <w:sz w:val="32"/>
          <w:szCs w:val="32"/>
          <w:highlight w:val="none"/>
        </w:rPr>
        <w:t>0%，差异主要原因</w:t>
      </w:r>
      <w:r>
        <w:rPr>
          <w:rFonts w:hint="eastAsia" w:ascii="仿宋_GB2312" w:eastAsia="仿宋_GB2312"/>
          <w:sz w:val="32"/>
          <w:szCs w:val="32"/>
          <w:highlight w:val="none"/>
          <w:lang w:eastAsia="zh-CN"/>
        </w:rPr>
        <w:t>年中追加征地和拆迁补偿支出项目、土地开发支出等项目经费，导致预决算差异率较大</w:t>
      </w:r>
      <w:r>
        <w:rPr>
          <w:rFonts w:hint="eastAsia" w:ascii="仿宋_GB2312" w:eastAsia="仿宋_GB2312"/>
          <w:sz w:val="32"/>
          <w:szCs w:val="32"/>
          <w:highlight w:val="none"/>
        </w:rPr>
        <w:t>。</w:t>
      </w:r>
    </w:p>
    <w:p w14:paraId="0D64C4A3">
      <w:pPr>
        <w:spacing w:line="540" w:lineRule="exact"/>
        <w:ind w:firstLine="640" w:firstLineChars="200"/>
        <w:rPr>
          <w:rFonts w:ascii="黑体" w:hAnsi="黑体" w:eastAsia="黑体"/>
          <w:sz w:val="32"/>
          <w:szCs w:val="32"/>
          <w:highlight w:val="none"/>
        </w:rPr>
      </w:pPr>
      <w:r>
        <w:rPr>
          <w:rFonts w:hint="eastAsia" w:ascii="黑体" w:hAnsi="黑体" w:eastAsia="黑体"/>
          <w:sz w:val="32"/>
          <w:szCs w:val="32"/>
          <w:highlight w:val="none"/>
        </w:rPr>
        <w:t>三、部门结转结余情况</w:t>
      </w:r>
    </w:p>
    <w:p w14:paraId="487D6B1F">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年末结转结余3,852.17万元。与上年相比，增加3,830.77万元，增长17,897.91%。</w:t>
      </w:r>
    </w:p>
    <w:p w14:paraId="57F21853">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其中财政拨款结转结余</w:t>
      </w:r>
      <w:r>
        <w:rPr>
          <w:rFonts w:hint="eastAsia" w:ascii="仿宋_GB2312" w:eastAsia="仿宋_GB2312"/>
          <w:sz w:val="32"/>
          <w:szCs w:val="32"/>
          <w:highlight w:val="none"/>
          <w:lang w:val="en-US" w:eastAsia="zh-CN"/>
        </w:rPr>
        <w:t>33.70</w:t>
      </w:r>
      <w:r>
        <w:rPr>
          <w:rFonts w:hint="eastAsia" w:ascii="仿宋_GB2312" w:eastAsia="仿宋_GB2312"/>
          <w:sz w:val="32"/>
          <w:szCs w:val="32"/>
          <w:highlight w:val="none"/>
        </w:rPr>
        <w:t>万元。与上年相比，增加</w:t>
      </w:r>
      <w:r>
        <w:rPr>
          <w:rFonts w:hint="eastAsia" w:ascii="仿宋_GB2312" w:eastAsia="仿宋_GB2312"/>
          <w:sz w:val="32"/>
          <w:szCs w:val="32"/>
          <w:highlight w:val="none"/>
          <w:lang w:val="en-US" w:eastAsia="zh-CN"/>
        </w:rPr>
        <w:t>33.70</w:t>
      </w:r>
      <w:r>
        <w:rPr>
          <w:rFonts w:hint="eastAsia" w:ascii="仿宋_GB2312" w:eastAsia="仿宋_GB2312"/>
          <w:sz w:val="32"/>
          <w:szCs w:val="32"/>
          <w:highlight w:val="none"/>
        </w:rPr>
        <w:t>万元，增长</w:t>
      </w:r>
      <w:r>
        <w:rPr>
          <w:rFonts w:hint="eastAsia" w:ascii="仿宋_GB2312" w:eastAsia="仿宋_GB2312"/>
          <w:sz w:val="32"/>
          <w:szCs w:val="32"/>
          <w:highlight w:val="none"/>
          <w:lang w:val="en-US" w:eastAsia="zh-CN"/>
        </w:rPr>
        <w:t>100</w:t>
      </w:r>
      <w:r>
        <w:rPr>
          <w:rFonts w:hint="eastAsia" w:ascii="仿宋_GB2312" w:eastAsia="仿宋_GB2312"/>
          <w:sz w:val="32"/>
          <w:szCs w:val="32"/>
          <w:highlight w:val="none"/>
        </w:rPr>
        <w:t>%。</w:t>
      </w:r>
    </w:p>
    <w:p w14:paraId="528E1FBC">
      <w:pPr>
        <w:spacing w:line="540" w:lineRule="exact"/>
        <w:ind w:firstLine="640" w:firstLineChars="200"/>
        <w:rPr>
          <w:rFonts w:ascii="黑体" w:hAnsi="黑体" w:eastAsia="黑体"/>
          <w:sz w:val="32"/>
          <w:szCs w:val="32"/>
          <w:highlight w:val="none"/>
        </w:rPr>
      </w:pPr>
      <w:r>
        <w:rPr>
          <w:rFonts w:hint="eastAsia" w:ascii="黑体" w:hAnsi="黑体" w:eastAsia="黑体"/>
          <w:sz w:val="32"/>
          <w:szCs w:val="32"/>
          <w:highlight w:val="none"/>
        </w:rPr>
        <w:t>四、一般公共预算“三公”经费支出情况</w:t>
      </w:r>
    </w:p>
    <w:p w14:paraId="07BC5E5A">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2019年</w:t>
      </w:r>
      <w:r>
        <w:rPr>
          <w:rFonts w:hint="eastAsia" w:ascii="仿宋_GB2312" w:eastAsia="仿宋_GB2312"/>
          <w:sz w:val="32"/>
          <w:szCs w:val="32"/>
          <w:highlight w:val="none"/>
        </w:rPr>
        <w:t>度一般公共预算“三公”经费支出决算13.84万元，比上年</w:t>
      </w:r>
      <w:r>
        <w:rPr>
          <w:rFonts w:hint="eastAsia" w:ascii="仿宋_GB2312" w:eastAsia="仿宋_GB2312"/>
          <w:sz w:val="32"/>
          <w:szCs w:val="32"/>
          <w:highlight w:val="none"/>
          <w:lang w:eastAsia="zh-CN"/>
        </w:rPr>
        <w:t>增加3.01</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增长</w:t>
      </w:r>
      <w:r>
        <w:rPr>
          <w:rFonts w:hint="eastAsia" w:ascii="仿宋_GB2312" w:eastAsia="仿宋_GB2312"/>
          <w:sz w:val="32"/>
          <w:szCs w:val="32"/>
          <w:highlight w:val="none"/>
        </w:rPr>
        <w:t>27.77%，</w:t>
      </w:r>
      <w:r>
        <w:rPr>
          <w:rFonts w:hint="eastAsia" w:ascii="仿宋_GB2312" w:eastAsia="仿宋_GB2312"/>
          <w:sz w:val="32"/>
          <w:szCs w:val="32"/>
          <w:highlight w:val="none"/>
          <w:lang w:eastAsia="zh-CN"/>
        </w:rPr>
        <w:t>增加</w:t>
      </w:r>
      <w:r>
        <w:rPr>
          <w:rFonts w:hint="eastAsia" w:ascii="仿宋_GB2312" w:eastAsia="仿宋_GB2312"/>
          <w:sz w:val="32"/>
          <w:szCs w:val="32"/>
          <w:highlight w:val="none"/>
        </w:rPr>
        <w:t>原因是</w:t>
      </w:r>
      <w:r>
        <w:rPr>
          <w:rFonts w:hint="eastAsia" w:ascii="仿宋_GB2312" w:eastAsia="仿宋_GB2312"/>
          <w:sz w:val="32"/>
          <w:szCs w:val="32"/>
          <w:highlight w:val="none"/>
          <w:lang w:eastAsia="zh-CN"/>
        </w:rPr>
        <w:t>2019年国土局、林业局、规划局、草原站、草原监理所五个单位合并的新单位</w:t>
      </w:r>
      <w:r>
        <w:rPr>
          <w:rFonts w:hint="eastAsia" w:ascii="仿宋_GB2312" w:eastAsia="仿宋_GB2312"/>
          <w:sz w:val="32"/>
          <w:szCs w:val="32"/>
          <w:highlight w:val="none"/>
        </w:rPr>
        <w:t>。其中，因公出国（境）费支出0.00万元，占0.00%，比上年增加0.0万元，</w:t>
      </w:r>
      <w:r>
        <w:rPr>
          <w:rFonts w:hint="eastAsia" w:ascii="仿宋_GB2312" w:eastAsia="仿宋_GB2312"/>
          <w:sz w:val="32"/>
          <w:szCs w:val="32"/>
          <w:highlight w:val="none"/>
          <w:lang w:eastAsia="zh-CN"/>
        </w:rPr>
        <w:t>增长</w:t>
      </w:r>
      <w:r>
        <w:rPr>
          <w:rFonts w:hint="eastAsia" w:ascii="仿宋_GB2312" w:eastAsia="仿宋_GB2312"/>
          <w:sz w:val="32"/>
          <w:szCs w:val="32"/>
          <w:highlight w:val="none"/>
        </w:rPr>
        <w:t>0%，减少原因是</w:t>
      </w:r>
      <w:r>
        <w:rPr>
          <w:rFonts w:hint="eastAsia" w:ascii="仿宋_GB2312" w:eastAsia="仿宋_GB2312"/>
          <w:sz w:val="32"/>
          <w:szCs w:val="32"/>
          <w:highlight w:val="none"/>
          <w:lang w:eastAsia="zh-CN"/>
        </w:rPr>
        <w:t>无</w:t>
      </w:r>
      <w:r>
        <w:rPr>
          <w:rFonts w:hint="eastAsia" w:ascii="仿宋_GB2312" w:eastAsia="仿宋_GB2312"/>
          <w:sz w:val="32"/>
          <w:szCs w:val="32"/>
          <w:highlight w:val="none"/>
        </w:rPr>
        <w:t>因公出国（境）费；公务用车购置及运行维护费支出11.11万元，占80.28%，比上年</w:t>
      </w:r>
      <w:r>
        <w:rPr>
          <w:rFonts w:hint="eastAsia" w:ascii="仿宋_GB2312" w:eastAsia="仿宋_GB2312"/>
          <w:sz w:val="32"/>
          <w:szCs w:val="32"/>
          <w:highlight w:val="none"/>
          <w:lang w:eastAsia="zh-CN"/>
        </w:rPr>
        <w:t>增加</w:t>
      </w:r>
      <w:r>
        <w:rPr>
          <w:rFonts w:hint="eastAsia" w:ascii="仿宋_GB2312" w:eastAsia="仿宋_GB2312"/>
          <w:sz w:val="32"/>
          <w:szCs w:val="32"/>
          <w:highlight w:val="none"/>
        </w:rPr>
        <w:t>3.27万元，</w:t>
      </w:r>
      <w:r>
        <w:rPr>
          <w:rFonts w:hint="eastAsia" w:ascii="仿宋_GB2312" w:eastAsia="仿宋_GB2312"/>
          <w:sz w:val="32"/>
          <w:szCs w:val="32"/>
          <w:highlight w:val="none"/>
          <w:lang w:eastAsia="zh-CN"/>
        </w:rPr>
        <w:t>增长</w:t>
      </w:r>
      <w:r>
        <w:rPr>
          <w:rFonts w:hint="eastAsia" w:ascii="仿宋_GB2312" w:eastAsia="仿宋_GB2312"/>
          <w:sz w:val="32"/>
          <w:szCs w:val="32"/>
          <w:highlight w:val="none"/>
        </w:rPr>
        <w:t>41.75%，</w:t>
      </w:r>
      <w:r>
        <w:rPr>
          <w:rFonts w:hint="eastAsia" w:ascii="仿宋_GB2312" w:eastAsia="仿宋_GB2312"/>
          <w:sz w:val="32"/>
          <w:szCs w:val="32"/>
          <w:highlight w:val="none"/>
          <w:lang w:eastAsia="zh-CN"/>
        </w:rPr>
        <w:t>增加</w:t>
      </w:r>
      <w:r>
        <w:rPr>
          <w:rFonts w:hint="eastAsia" w:ascii="仿宋_GB2312" w:eastAsia="仿宋_GB2312"/>
          <w:sz w:val="32"/>
          <w:szCs w:val="32"/>
          <w:highlight w:val="none"/>
        </w:rPr>
        <w:t>原因是2019年国土局、林业局、规划局、草原站、草原监理所五个单位合并的新单位；公务接待费支出2.73万元，占19.72%，比上年</w:t>
      </w:r>
      <w:r>
        <w:rPr>
          <w:rFonts w:hint="eastAsia" w:ascii="仿宋_GB2312" w:eastAsia="仿宋_GB2312"/>
          <w:sz w:val="32"/>
          <w:szCs w:val="32"/>
          <w:highlight w:val="none"/>
          <w:lang w:eastAsia="zh-CN"/>
        </w:rPr>
        <w:t>减少0.26</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下降</w:t>
      </w:r>
      <w:r>
        <w:rPr>
          <w:rFonts w:hint="eastAsia" w:ascii="仿宋_GB2312" w:eastAsia="仿宋_GB2312"/>
          <w:sz w:val="32"/>
          <w:szCs w:val="32"/>
          <w:highlight w:val="none"/>
          <w:lang w:val="en-US" w:eastAsia="zh-CN"/>
        </w:rPr>
        <w:t>8.83</w:t>
      </w:r>
      <w:r>
        <w:rPr>
          <w:rFonts w:hint="eastAsia" w:ascii="仿宋_GB2312" w:eastAsia="仿宋_GB2312"/>
          <w:sz w:val="32"/>
          <w:szCs w:val="32"/>
          <w:highlight w:val="none"/>
        </w:rPr>
        <w:t>%，减少原因是</w:t>
      </w:r>
      <w:r>
        <w:rPr>
          <w:rFonts w:hint="eastAsia" w:ascii="仿宋_GB2312" w:eastAsia="仿宋_GB2312"/>
          <w:sz w:val="32"/>
          <w:szCs w:val="32"/>
          <w:highlight w:val="none"/>
          <w:lang w:eastAsia="zh-CN"/>
        </w:rPr>
        <w:t>严格执行中央八项规定，减少接待支出</w:t>
      </w:r>
      <w:r>
        <w:rPr>
          <w:rFonts w:hint="eastAsia" w:ascii="仿宋_GB2312" w:eastAsia="仿宋_GB2312"/>
          <w:sz w:val="32"/>
          <w:szCs w:val="32"/>
          <w:highlight w:val="none"/>
        </w:rPr>
        <w:t>。具体情况如下：</w:t>
      </w:r>
    </w:p>
    <w:p w14:paraId="5608A704">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因公出国（境）费支出0.00万元。</w:t>
      </w:r>
      <w:r>
        <w:rPr>
          <w:rFonts w:hint="eastAsia" w:ascii="仿宋_GB2312" w:eastAsia="仿宋_GB2312"/>
          <w:sz w:val="32"/>
          <w:szCs w:val="32"/>
          <w:highlight w:val="none"/>
          <w:lang w:eastAsia="zh-CN"/>
        </w:rPr>
        <w:t>吉木萨尔县自然资源局部门决算</w:t>
      </w:r>
      <w:r>
        <w:rPr>
          <w:rFonts w:hint="eastAsia" w:ascii="仿宋_GB2312" w:eastAsia="仿宋_GB2312"/>
          <w:sz w:val="32"/>
          <w:szCs w:val="32"/>
          <w:highlight w:val="none"/>
        </w:rPr>
        <w:t>全年使用一般公共预算财政拨款安排的出国（境）团组0个，累计0人次。开支内容包括：</w:t>
      </w:r>
      <w:r>
        <w:rPr>
          <w:rFonts w:hint="eastAsia" w:ascii="仿宋_GB2312" w:eastAsia="仿宋_GB2312"/>
          <w:sz w:val="32"/>
          <w:szCs w:val="32"/>
          <w:highlight w:val="none"/>
          <w:lang w:eastAsia="zh-CN"/>
        </w:rPr>
        <w:t>无</w:t>
      </w:r>
      <w:r>
        <w:rPr>
          <w:rFonts w:hint="eastAsia" w:ascii="仿宋_GB2312" w:eastAsia="仿宋_GB2312"/>
          <w:sz w:val="32"/>
          <w:szCs w:val="32"/>
          <w:highlight w:val="none"/>
        </w:rPr>
        <w:t>因公出国（境）费。</w:t>
      </w:r>
      <w:bookmarkStart w:id="0" w:name="_GoBack"/>
      <w:bookmarkEnd w:id="0"/>
    </w:p>
    <w:p w14:paraId="3F62D2E9">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公务用车购置及运行维护费11.11万元,其中，公务用车购置0.00万元，公务用车运行维护费11.11万元。主要用于公务用车燃料费、维修费、保险费等。单位一般公共财政拨款安排的公务用车购置量0辆，保有量为</w:t>
      </w:r>
      <w:r>
        <w:rPr>
          <w:rFonts w:hint="eastAsia" w:ascii="仿宋_GB2312" w:eastAsia="仿宋_GB2312"/>
          <w:sz w:val="32"/>
          <w:szCs w:val="32"/>
          <w:highlight w:val="none"/>
          <w:lang w:val="en-US" w:eastAsia="zh-CN"/>
        </w:rPr>
        <w:t>11</w:t>
      </w:r>
      <w:r>
        <w:rPr>
          <w:rFonts w:hint="eastAsia" w:ascii="仿宋_GB2312" w:eastAsia="仿宋_GB2312"/>
          <w:sz w:val="32"/>
          <w:szCs w:val="32"/>
          <w:highlight w:val="none"/>
        </w:rPr>
        <w:t>辆。</w:t>
      </w:r>
    </w:p>
    <w:p w14:paraId="12830885">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公务接待费</w:t>
      </w:r>
      <w:r>
        <w:rPr>
          <w:rFonts w:hint="eastAsia" w:ascii="仿宋_GB2312" w:eastAsia="仿宋_GB2312"/>
          <w:sz w:val="32"/>
          <w:szCs w:val="32"/>
          <w:highlight w:val="none"/>
          <w:lang w:val="en-US" w:eastAsia="zh-CN"/>
        </w:rPr>
        <w:t>2.73</w:t>
      </w:r>
      <w:r>
        <w:rPr>
          <w:rFonts w:hint="eastAsia" w:ascii="仿宋_GB2312" w:eastAsia="仿宋_GB2312"/>
          <w:sz w:val="32"/>
          <w:szCs w:val="32"/>
          <w:highlight w:val="none"/>
        </w:rPr>
        <w:t>万元。具体是：国内公务接待支出</w:t>
      </w:r>
      <w:r>
        <w:rPr>
          <w:rFonts w:hint="eastAsia" w:ascii="仿宋_GB2312" w:eastAsia="仿宋_GB2312"/>
          <w:sz w:val="32"/>
          <w:szCs w:val="32"/>
          <w:highlight w:val="none"/>
          <w:lang w:val="en-US" w:eastAsia="zh-CN"/>
        </w:rPr>
        <w:t>2.73</w:t>
      </w:r>
      <w:r>
        <w:rPr>
          <w:rFonts w:hint="eastAsia" w:ascii="仿宋_GB2312" w:eastAsia="仿宋_GB2312"/>
          <w:sz w:val="32"/>
          <w:szCs w:val="32"/>
          <w:highlight w:val="none"/>
        </w:rPr>
        <w:t>万元，主要是接待上级单位检查来人。</w:t>
      </w:r>
      <w:r>
        <w:rPr>
          <w:rFonts w:hint="eastAsia" w:ascii="仿宋_GB2312" w:eastAsia="仿宋_GB2312"/>
          <w:sz w:val="32"/>
          <w:szCs w:val="32"/>
          <w:highlight w:val="none"/>
          <w:lang w:eastAsia="zh-CN"/>
        </w:rPr>
        <w:t>吉木萨尔县自然资源局部门决算</w:t>
      </w:r>
      <w:r>
        <w:rPr>
          <w:rFonts w:hint="eastAsia" w:ascii="仿宋_GB2312" w:eastAsia="仿宋_GB2312"/>
          <w:sz w:val="32"/>
          <w:szCs w:val="32"/>
          <w:highlight w:val="none"/>
        </w:rPr>
        <w:t>国内公务接待</w:t>
      </w:r>
      <w:r>
        <w:rPr>
          <w:rFonts w:hint="eastAsia" w:ascii="仿宋_GB2312" w:eastAsia="仿宋_GB2312"/>
          <w:sz w:val="32"/>
          <w:szCs w:val="32"/>
          <w:highlight w:val="none"/>
          <w:lang w:val="en-US" w:eastAsia="zh-CN"/>
        </w:rPr>
        <w:t>39</w:t>
      </w:r>
      <w:r>
        <w:rPr>
          <w:rFonts w:hint="eastAsia" w:ascii="仿宋_GB2312" w:eastAsia="仿宋_GB2312"/>
          <w:sz w:val="32"/>
          <w:szCs w:val="32"/>
          <w:highlight w:val="none"/>
        </w:rPr>
        <w:t>批次，</w:t>
      </w:r>
      <w:r>
        <w:rPr>
          <w:rFonts w:hint="eastAsia" w:ascii="仿宋_GB2312" w:eastAsia="仿宋_GB2312"/>
          <w:sz w:val="32"/>
          <w:szCs w:val="32"/>
          <w:highlight w:val="none"/>
          <w:lang w:val="en-US" w:eastAsia="zh-CN"/>
        </w:rPr>
        <w:t>631</w:t>
      </w:r>
      <w:r>
        <w:rPr>
          <w:rFonts w:hint="eastAsia" w:ascii="仿宋_GB2312" w:eastAsia="仿宋_GB2312"/>
          <w:sz w:val="32"/>
          <w:szCs w:val="32"/>
          <w:highlight w:val="none"/>
        </w:rPr>
        <w:t>人次。</w:t>
      </w:r>
    </w:p>
    <w:p w14:paraId="29BC6165">
      <w:pPr>
        <w:spacing w:line="540" w:lineRule="exact"/>
        <w:ind w:firstLine="640" w:firstLineChars="200"/>
        <w:rPr>
          <w:rFonts w:ascii="仿宋_GB2312" w:hAnsi="宋体" w:eastAsia="仿宋_GB2312" w:cs="宋体"/>
          <w:kern w:val="0"/>
          <w:sz w:val="32"/>
          <w:szCs w:val="32"/>
          <w:highlight w:val="none"/>
        </w:rPr>
      </w:pPr>
      <w:r>
        <w:rPr>
          <w:rFonts w:hint="eastAsia" w:ascii="仿宋_GB2312" w:eastAsia="仿宋_GB2312"/>
          <w:sz w:val="32"/>
          <w:szCs w:val="32"/>
          <w:highlight w:val="none"/>
        </w:rPr>
        <w:t>与年初预算数相比情况：一般公共预算“三公”经费支出年初预算数13.84万元，决算数13.84万元，预决算差异率</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%，差异主要原因</w:t>
      </w:r>
      <w:r>
        <w:rPr>
          <w:rFonts w:hint="eastAsia" w:ascii="仿宋_GB2312" w:eastAsia="仿宋_GB2312"/>
          <w:sz w:val="32"/>
          <w:szCs w:val="32"/>
          <w:highlight w:val="none"/>
          <w:lang w:eastAsia="zh-CN"/>
        </w:rPr>
        <w:t>预决算无差异</w:t>
      </w:r>
      <w:r>
        <w:rPr>
          <w:rFonts w:hint="eastAsia" w:ascii="仿宋_GB2312" w:eastAsia="仿宋_GB2312"/>
          <w:sz w:val="32"/>
          <w:szCs w:val="32"/>
          <w:highlight w:val="none"/>
        </w:rPr>
        <w:t>。</w:t>
      </w:r>
      <w:r>
        <w:rPr>
          <w:rFonts w:hint="eastAsia" w:ascii="仿宋_GB2312" w:hAnsi="宋体" w:eastAsia="仿宋_GB2312" w:cs="宋体"/>
          <w:kern w:val="0"/>
          <w:sz w:val="32"/>
          <w:szCs w:val="32"/>
          <w:highlight w:val="none"/>
        </w:rPr>
        <w:t>其中：因公出国（境）费</w:t>
      </w:r>
      <w:r>
        <w:rPr>
          <w:rFonts w:hint="eastAsia" w:ascii="仿宋_GB2312" w:eastAsia="仿宋_GB2312"/>
          <w:sz w:val="32"/>
          <w:szCs w:val="32"/>
          <w:highlight w:val="none"/>
        </w:rPr>
        <w:t>预算数0.00万元，决算数0.00万元，预决算差异率0.00%，差异主要原因</w:t>
      </w:r>
      <w:r>
        <w:rPr>
          <w:rFonts w:hint="eastAsia" w:ascii="仿宋_GB2312" w:eastAsia="仿宋_GB2312"/>
          <w:sz w:val="32"/>
          <w:szCs w:val="32"/>
          <w:highlight w:val="none"/>
          <w:lang w:eastAsia="zh-CN"/>
        </w:rPr>
        <w:t>无</w:t>
      </w:r>
      <w:r>
        <w:rPr>
          <w:rFonts w:hint="eastAsia" w:ascii="仿宋_GB2312" w:hAnsi="宋体" w:eastAsia="仿宋_GB2312" w:cs="宋体"/>
          <w:kern w:val="0"/>
          <w:sz w:val="32"/>
          <w:szCs w:val="32"/>
          <w:highlight w:val="none"/>
        </w:rPr>
        <w:t>因公出国（境）费</w:t>
      </w:r>
      <w:r>
        <w:rPr>
          <w:rFonts w:hint="eastAsia" w:ascii="仿宋_GB2312" w:eastAsia="仿宋_GB2312"/>
          <w:sz w:val="32"/>
          <w:szCs w:val="32"/>
          <w:highlight w:val="none"/>
        </w:rPr>
        <w:t>；</w:t>
      </w:r>
      <w:r>
        <w:rPr>
          <w:rFonts w:hint="eastAsia" w:ascii="仿宋_GB2312" w:hAnsi="宋体" w:eastAsia="仿宋_GB2312" w:cs="宋体"/>
          <w:kern w:val="0"/>
          <w:sz w:val="32"/>
          <w:szCs w:val="32"/>
          <w:highlight w:val="none"/>
        </w:rPr>
        <w:t>公务用车购置</w:t>
      </w:r>
      <w:r>
        <w:rPr>
          <w:rFonts w:hint="eastAsia" w:ascii="仿宋_GB2312" w:eastAsia="仿宋_GB2312"/>
          <w:sz w:val="32"/>
          <w:szCs w:val="32"/>
          <w:highlight w:val="none"/>
        </w:rPr>
        <w:t>预算数0万元，决算数0.00万元，预决算差异率0.00%，差异主要原因</w:t>
      </w:r>
      <w:r>
        <w:rPr>
          <w:rFonts w:hint="eastAsia" w:ascii="仿宋_GB2312" w:eastAsia="仿宋_GB2312"/>
          <w:sz w:val="32"/>
          <w:szCs w:val="32"/>
          <w:highlight w:val="none"/>
          <w:lang w:eastAsia="zh-CN"/>
        </w:rPr>
        <w:t>无</w:t>
      </w:r>
      <w:r>
        <w:rPr>
          <w:rFonts w:hint="eastAsia" w:ascii="仿宋_GB2312" w:hAnsi="宋体" w:eastAsia="仿宋_GB2312" w:cs="宋体"/>
          <w:kern w:val="0"/>
          <w:sz w:val="32"/>
          <w:szCs w:val="32"/>
          <w:highlight w:val="none"/>
        </w:rPr>
        <w:t>公务用车购置</w:t>
      </w:r>
      <w:r>
        <w:rPr>
          <w:rFonts w:hint="eastAsia" w:ascii="仿宋_GB2312" w:eastAsia="仿宋_GB2312"/>
          <w:sz w:val="32"/>
          <w:szCs w:val="32"/>
          <w:highlight w:val="none"/>
        </w:rPr>
        <w:t>；</w:t>
      </w:r>
      <w:r>
        <w:rPr>
          <w:rFonts w:hint="eastAsia" w:ascii="仿宋_GB2312" w:hAnsi="宋体" w:eastAsia="仿宋_GB2312" w:cs="宋体"/>
          <w:kern w:val="0"/>
          <w:sz w:val="32"/>
          <w:szCs w:val="32"/>
          <w:highlight w:val="none"/>
        </w:rPr>
        <w:t>公务用车运行费</w:t>
      </w:r>
      <w:r>
        <w:rPr>
          <w:rFonts w:hint="eastAsia" w:ascii="仿宋_GB2312" w:eastAsia="仿宋_GB2312"/>
          <w:sz w:val="32"/>
          <w:szCs w:val="32"/>
          <w:highlight w:val="none"/>
        </w:rPr>
        <w:t>预算数11.11万元，决算数11.11万元，预决算差异率</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%，差异主要原因</w:t>
      </w:r>
      <w:r>
        <w:rPr>
          <w:rFonts w:hint="eastAsia" w:ascii="仿宋_GB2312" w:eastAsia="仿宋_GB2312"/>
          <w:sz w:val="32"/>
          <w:szCs w:val="32"/>
          <w:highlight w:val="none"/>
          <w:lang w:eastAsia="zh-CN"/>
        </w:rPr>
        <w:t>预决算无差异</w:t>
      </w:r>
      <w:r>
        <w:rPr>
          <w:rFonts w:hint="eastAsia" w:ascii="仿宋_GB2312" w:eastAsia="仿宋_GB2312"/>
          <w:sz w:val="32"/>
          <w:szCs w:val="32"/>
          <w:highlight w:val="none"/>
        </w:rPr>
        <w:t>；</w:t>
      </w:r>
      <w:r>
        <w:rPr>
          <w:rFonts w:hint="eastAsia" w:ascii="仿宋_GB2312" w:hAnsi="宋体" w:eastAsia="仿宋_GB2312" w:cs="宋体"/>
          <w:kern w:val="0"/>
          <w:sz w:val="32"/>
          <w:szCs w:val="32"/>
          <w:highlight w:val="none"/>
        </w:rPr>
        <w:t>公务接待费</w:t>
      </w:r>
      <w:r>
        <w:rPr>
          <w:rFonts w:hint="eastAsia" w:ascii="仿宋_GB2312" w:eastAsia="仿宋_GB2312"/>
          <w:sz w:val="32"/>
          <w:szCs w:val="32"/>
          <w:highlight w:val="none"/>
        </w:rPr>
        <w:t>预算数2.73万元，决算数2.73万元，预决算差异率0.00%，差异主要原因</w:t>
      </w:r>
      <w:r>
        <w:rPr>
          <w:rFonts w:hint="eastAsia" w:ascii="仿宋_GB2312" w:eastAsia="仿宋_GB2312"/>
          <w:sz w:val="32"/>
          <w:szCs w:val="32"/>
          <w:highlight w:val="none"/>
          <w:lang w:eastAsia="zh-CN"/>
        </w:rPr>
        <w:t>预决算无差异</w:t>
      </w:r>
      <w:r>
        <w:rPr>
          <w:rFonts w:hint="eastAsia" w:ascii="仿宋_GB2312" w:eastAsia="仿宋_GB2312"/>
          <w:sz w:val="32"/>
          <w:szCs w:val="32"/>
          <w:highlight w:val="none"/>
        </w:rPr>
        <w:t>。</w:t>
      </w:r>
    </w:p>
    <w:p w14:paraId="7D1C2D89">
      <w:pPr>
        <w:spacing w:line="540" w:lineRule="exact"/>
        <w:ind w:firstLine="640" w:firstLineChars="200"/>
        <w:rPr>
          <w:rFonts w:ascii="黑体" w:hAnsi="黑体" w:eastAsia="黑体"/>
          <w:sz w:val="32"/>
          <w:szCs w:val="32"/>
          <w:highlight w:val="none"/>
        </w:rPr>
      </w:pPr>
      <w:r>
        <w:rPr>
          <w:rFonts w:hint="eastAsia" w:ascii="黑体" w:hAnsi="黑体" w:eastAsia="黑体"/>
          <w:sz w:val="32"/>
          <w:szCs w:val="32"/>
          <w:highlight w:val="none"/>
        </w:rPr>
        <w:t>五、机关运行经费支出情况</w:t>
      </w:r>
    </w:p>
    <w:p w14:paraId="5D5774FE">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eastAsia="zh-CN"/>
        </w:rPr>
        <w:t>2019年度吉木萨尔县自然资源局</w:t>
      </w:r>
      <w:r>
        <w:rPr>
          <w:rFonts w:hint="eastAsia" w:ascii="仿宋_GB2312" w:eastAsia="仿宋_GB2312"/>
          <w:sz w:val="32"/>
          <w:szCs w:val="32"/>
          <w:highlight w:val="none"/>
        </w:rPr>
        <w:t>部门机关运行经费支出72.78万元，比上年</w:t>
      </w:r>
      <w:r>
        <w:rPr>
          <w:rFonts w:hint="eastAsia" w:ascii="仿宋_GB2312" w:eastAsia="仿宋_GB2312"/>
          <w:sz w:val="32"/>
          <w:szCs w:val="32"/>
          <w:highlight w:val="none"/>
          <w:lang w:eastAsia="zh-CN"/>
        </w:rPr>
        <w:t>增加</w:t>
      </w:r>
      <w:r>
        <w:rPr>
          <w:rFonts w:hint="eastAsia" w:ascii="仿宋_GB2312" w:eastAsia="仿宋_GB2312"/>
          <w:sz w:val="32"/>
          <w:szCs w:val="32"/>
          <w:highlight w:val="none"/>
        </w:rPr>
        <w:t>28.21万元，</w:t>
      </w:r>
      <w:r>
        <w:rPr>
          <w:rFonts w:hint="eastAsia" w:ascii="仿宋_GB2312" w:eastAsia="仿宋_GB2312"/>
          <w:sz w:val="32"/>
          <w:szCs w:val="32"/>
          <w:highlight w:val="none"/>
          <w:lang w:eastAsia="zh-CN"/>
        </w:rPr>
        <w:t>增长63.30</w:t>
      </w:r>
      <w:r>
        <w:rPr>
          <w:rFonts w:hint="eastAsia" w:ascii="仿宋_GB2312" w:eastAsia="仿宋_GB2312"/>
          <w:sz w:val="32"/>
          <w:szCs w:val="32"/>
          <w:highlight w:val="none"/>
        </w:rPr>
        <w:t>%，主要原因是</w:t>
      </w:r>
      <w:r>
        <w:rPr>
          <w:rFonts w:hint="eastAsia" w:ascii="仿宋_GB2312" w:eastAsia="仿宋_GB2312"/>
          <w:sz w:val="32"/>
          <w:szCs w:val="32"/>
          <w:highlight w:val="none"/>
          <w:lang w:eastAsia="zh-CN"/>
        </w:rPr>
        <w:t>2019年国土局、林业局、规划局、草原站、草原监理所五个单位合并的新单位。</w:t>
      </w:r>
    </w:p>
    <w:p w14:paraId="7E0F1C6A">
      <w:pPr>
        <w:spacing w:line="540" w:lineRule="exact"/>
        <w:ind w:firstLine="640" w:firstLineChars="200"/>
        <w:rPr>
          <w:rFonts w:ascii="黑体" w:hAnsi="黑体" w:eastAsia="黑体"/>
          <w:sz w:val="32"/>
          <w:szCs w:val="32"/>
          <w:highlight w:val="none"/>
        </w:rPr>
      </w:pPr>
      <w:r>
        <w:rPr>
          <w:rFonts w:hint="eastAsia" w:ascii="黑体" w:hAnsi="黑体" w:eastAsia="黑体"/>
          <w:sz w:val="32"/>
          <w:szCs w:val="32"/>
          <w:highlight w:val="none"/>
        </w:rPr>
        <w:t>六、政府采购情况</w:t>
      </w:r>
    </w:p>
    <w:p w14:paraId="64A474D3">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2019年</w:t>
      </w:r>
      <w:r>
        <w:rPr>
          <w:rFonts w:hint="eastAsia" w:ascii="仿宋_GB2312" w:eastAsia="仿宋_GB2312"/>
          <w:sz w:val="32"/>
          <w:szCs w:val="32"/>
          <w:highlight w:val="none"/>
        </w:rPr>
        <w:t>度政府采购支出总额0.00万元，其中：政府采购货物支出0.00万元、政府采购工程支出0.00万元、政府采购服务支出0.00万元。</w:t>
      </w:r>
    </w:p>
    <w:p w14:paraId="74076C44">
      <w:pPr>
        <w:spacing w:line="540" w:lineRule="exact"/>
        <w:ind w:firstLine="640" w:firstLineChars="200"/>
        <w:rPr>
          <w:rFonts w:ascii="黑体" w:hAnsi="黑体" w:eastAsia="黑体"/>
          <w:sz w:val="32"/>
          <w:szCs w:val="32"/>
          <w:highlight w:val="none"/>
        </w:rPr>
      </w:pPr>
      <w:r>
        <w:rPr>
          <w:rFonts w:hint="eastAsia" w:ascii="黑体" w:hAnsi="黑体" w:eastAsia="黑体"/>
          <w:sz w:val="32"/>
          <w:szCs w:val="32"/>
          <w:highlight w:val="none"/>
        </w:rPr>
        <w:t>七、其他重要事项的情况</w:t>
      </w:r>
    </w:p>
    <w:p w14:paraId="21DBB141">
      <w:pPr>
        <w:spacing w:line="540" w:lineRule="exact"/>
        <w:ind w:firstLine="643" w:firstLineChars="200"/>
        <w:rPr>
          <w:rFonts w:ascii="楷体_GB2312" w:eastAsia="楷体_GB2312"/>
          <w:b/>
          <w:bCs/>
          <w:sz w:val="32"/>
          <w:szCs w:val="32"/>
          <w:highlight w:val="none"/>
        </w:rPr>
      </w:pPr>
      <w:r>
        <w:rPr>
          <w:rFonts w:hint="eastAsia" w:ascii="楷体_GB2312" w:eastAsia="楷体_GB2312"/>
          <w:b/>
          <w:bCs/>
          <w:sz w:val="32"/>
          <w:szCs w:val="32"/>
          <w:highlight w:val="none"/>
        </w:rPr>
        <w:t>（一）国有资产占用情况说明</w:t>
      </w:r>
    </w:p>
    <w:p w14:paraId="1E73C76A">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截至</w:t>
      </w:r>
      <w:r>
        <w:rPr>
          <w:rFonts w:hint="eastAsia" w:ascii="仿宋_GB2312" w:eastAsia="仿宋_GB2312"/>
          <w:sz w:val="32"/>
          <w:szCs w:val="32"/>
          <w:highlight w:val="none"/>
          <w:lang w:eastAsia="zh-CN"/>
        </w:rPr>
        <w:t>2019年</w:t>
      </w:r>
      <w:r>
        <w:rPr>
          <w:rFonts w:hint="eastAsia" w:ascii="仿宋_GB2312" w:eastAsia="仿宋_GB2312"/>
          <w:sz w:val="32"/>
          <w:szCs w:val="32"/>
          <w:highlight w:val="none"/>
        </w:rPr>
        <w:t>12月31日，单位共有车辆</w:t>
      </w:r>
      <w:r>
        <w:rPr>
          <w:rFonts w:hint="eastAsia" w:ascii="仿宋_GB2312" w:eastAsia="仿宋_GB2312"/>
          <w:sz w:val="32"/>
          <w:szCs w:val="32"/>
          <w:highlight w:val="none"/>
          <w:lang w:val="en-US" w:eastAsia="zh-CN"/>
        </w:rPr>
        <w:t>11</w:t>
      </w:r>
      <w:r>
        <w:rPr>
          <w:rFonts w:hint="eastAsia" w:ascii="仿宋_GB2312" w:eastAsia="仿宋_GB2312"/>
          <w:sz w:val="32"/>
          <w:szCs w:val="32"/>
          <w:highlight w:val="none"/>
        </w:rPr>
        <w:t>辆，价值365.31万元，其中：副部（省）级及以上领导用车0辆、主要领导干部用车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辆、机要通信用车0辆、应急保障用车0辆、执法执勤用车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辆、特种专业技术用车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辆、离退休干部用车0辆、其他用车</w:t>
      </w:r>
      <w:r>
        <w:rPr>
          <w:rFonts w:hint="eastAsia" w:ascii="仿宋_GB2312" w:eastAsia="仿宋_GB2312"/>
          <w:sz w:val="32"/>
          <w:szCs w:val="32"/>
          <w:highlight w:val="none"/>
          <w:lang w:val="en-US" w:eastAsia="zh-CN"/>
        </w:rPr>
        <w:t>11.00</w:t>
      </w:r>
      <w:r>
        <w:rPr>
          <w:rFonts w:hint="eastAsia" w:ascii="仿宋_GB2312" w:eastAsia="仿宋_GB2312"/>
          <w:sz w:val="32"/>
          <w:szCs w:val="32"/>
          <w:highlight w:val="none"/>
        </w:rPr>
        <w:t>辆，其他用车主要是：</w:t>
      </w:r>
      <w:r>
        <w:rPr>
          <w:rFonts w:hint="eastAsia" w:ascii="仿宋_GB2312" w:eastAsia="仿宋_GB2312"/>
          <w:sz w:val="32"/>
          <w:szCs w:val="32"/>
          <w:highlight w:val="none"/>
          <w:lang w:eastAsia="zh-CN"/>
        </w:rPr>
        <w:t>越野车、皮卡车</w:t>
      </w:r>
      <w:r>
        <w:rPr>
          <w:rFonts w:hint="eastAsia" w:ascii="仿宋_GB2312" w:eastAsia="仿宋_GB2312"/>
          <w:sz w:val="32"/>
          <w:szCs w:val="32"/>
          <w:highlight w:val="none"/>
        </w:rPr>
        <w:t>；单位价值50万元以上通用设备</w:t>
      </w:r>
      <w:r>
        <w:rPr>
          <w:rFonts w:hint="eastAsia" w:ascii="仿宋_GB2312" w:eastAsia="仿宋_GB2312"/>
          <w:sz w:val="32"/>
          <w:szCs w:val="32"/>
          <w:highlight w:val="none"/>
          <w:lang w:val="en-US" w:eastAsia="zh-CN"/>
        </w:rPr>
        <w:t>14.00</w:t>
      </w:r>
      <w:r>
        <w:rPr>
          <w:rFonts w:hint="eastAsia" w:ascii="仿宋_GB2312" w:eastAsia="仿宋_GB2312"/>
          <w:sz w:val="32"/>
          <w:szCs w:val="32"/>
          <w:highlight w:val="none"/>
        </w:rPr>
        <w:t>台（套）、单位价值100万元以上专用设备0台（套）。</w:t>
      </w:r>
    </w:p>
    <w:p w14:paraId="0217BFCA">
      <w:pPr>
        <w:spacing w:line="540" w:lineRule="exact"/>
        <w:ind w:firstLine="643" w:firstLineChars="200"/>
        <w:rPr>
          <w:rFonts w:ascii="楷体_GB2312" w:eastAsia="楷体_GB2312"/>
          <w:b/>
          <w:bCs/>
          <w:sz w:val="32"/>
          <w:szCs w:val="32"/>
          <w:highlight w:val="none"/>
        </w:rPr>
      </w:pPr>
      <w:r>
        <w:rPr>
          <w:rFonts w:hint="eastAsia" w:ascii="楷体_GB2312" w:eastAsia="楷体_GB2312"/>
          <w:b/>
          <w:bCs/>
          <w:sz w:val="32"/>
          <w:szCs w:val="32"/>
          <w:highlight w:val="none"/>
        </w:rPr>
        <w:t>（二）预算绩效情况的说明</w:t>
      </w:r>
    </w:p>
    <w:p w14:paraId="049458C5">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2019年</w:t>
      </w:r>
      <w:r>
        <w:rPr>
          <w:rFonts w:hint="eastAsia" w:ascii="仿宋_GB2312" w:eastAsia="仿宋_GB2312"/>
          <w:sz w:val="32"/>
          <w:szCs w:val="32"/>
          <w:highlight w:val="none"/>
        </w:rPr>
        <w:t>度，本部门单位预算绩效自评情况：自述有关预算绩效管理和绩效自评开展情况。</w:t>
      </w:r>
    </w:p>
    <w:p w14:paraId="433AF441">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val="en-US" w:eastAsia="zh-CN"/>
        </w:rPr>
        <w:t>1.吉木萨尔北庭国家湿地公园</w:t>
      </w:r>
      <w:r>
        <w:rPr>
          <w:rFonts w:hint="eastAsia" w:ascii="仿宋_GB2312" w:eastAsia="仿宋_GB2312"/>
          <w:sz w:val="32"/>
          <w:szCs w:val="32"/>
          <w:highlight w:val="none"/>
        </w:rPr>
        <w:t>项目绩效自评综述：根据年初设定的绩效目标，吉木萨尔北庭国家湿地公园项目目绩效自评得分为</w:t>
      </w:r>
      <w:r>
        <w:rPr>
          <w:rFonts w:hint="eastAsia" w:ascii="仿宋_GB2312" w:eastAsia="仿宋_GB2312"/>
          <w:sz w:val="32"/>
          <w:szCs w:val="32"/>
          <w:highlight w:val="none"/>
          <w:lang w:val="en-US" w:eastAsia="zh-CN"/>
        </w:rPr>
        <w:t>98</w:t>
      </w:r>
      <w:r>
        <w:rPr>
          <w:rFonts w:hint="eastAsia" w:ascii="仿宋_GB2312" w:eastAsia="仿宋_GB2312"/>
          <w:sz w:val="32"/>
          <w:szCs w:val="32"/>
          <w:highlight w:val="none"/>
        </w:rPr>
        <w:t>分。项目全年预算数为</w:t>
      </w:r>
      <w:r>
        <w:rPr>
          <w:rFonts w:hint="eastAsia" w:ascii="仿宋_GB2312" w:eastAsia="仿宋_GB2312"/>
          <w:sz w:val="32"/>
          <w:szCs w:val="32"/>
          <w:highlight w:val="none"/>
          <w:lang w:val="en-US" w:eastAsia="zh-CN"/>
        </w:rPr>
        <w:t>300</w:t>
      </w:r>
      <w:r>
        <w:rPr>
          <w:rFonts w:hint="eastAsia" w:ascii="仿宋_GB2312" w:eastAsia="仿宋_GB2312"/>
          <w:sz w:val="32"/>
          <w:szCs w:val="32"/>
          <w:highlight w:val="none"/>
        </w:rPr>
        <w:t>万元，执行数为</w:t>
      </w:r>
      <w:r>
        <w:rPr>
          <w:rFonts w:hint="eastAsia" w:ascii="仿宋_GB2312" w:eastAsia="仿宋_GB2312"/>
          <w:sz w:val="32"/>
          <w:szCs w:val="32"/>
          <w:highlight w:val="none"/>
          <w:lang w:val="en-US" w:eastAsia="zh-CN"/>
        </w:rPr>
        <w:t>300</w:t>
      </w:r>
      <w:r>
        <w:rPr>
          <w:rFonts w:hint="eastAsia" w:ascii="仿宋_GB2312" w:eastAsia="仿宋_GB2312"/>
          <w:sz w:val="32"/>
          <w:szCs w:val="32"/>
          <w:highlight w:val="none"/>
        </w:rPr>
        <w:t>万元，完成预算的</w:t>
      </w:r>
      <w:r>
        <w:rPr>
          <w:rFonts w:hint="eastAsia" w:ascii="仿宋_GB2312" w:eastAsia="仿宋_GB2312"/>
          <w:sz w:val="32"/>
          <w:szCs w:val="32"/>
          <w:highlight w:val="none"/>
          <w:lang w:val="en-US" w:eastAsia="zh-CN"/>
        </w:rPr>
        <w:t>100%</w:t>
      </w:r>
      <w:r>
        <w:rPr>
          <w:rFonts w:hint="eastAsia" w:ascii="仿宋_GB2312" w:eastAsia="仿宋_GB2312"/>
          <w:sz w:val="32"/>
          <w:szCs w:val="32"/>
          <w:highlight w:val="none"/>
        </w:rPr>
        <w:t>。主要产出和效果：核心区观鸟塔、宣教长廊、木栈道、草坪灯、射灯、墙头灯、地角灯安装工程，基本完成《新疆吉木萨尔北庭国家湿地公园（试点）建设总体规划》中剩余建设任务，并迎接国家林业和草原局试点验收。发现的问题及原因：未提供吉木萨尔北庭国家湿地公园建设项目实施过程中相关的监管资料，且湿地公园管理范围较大，未制定后期管护的相关制度。下一步改进措施：今后加大申请上级补助资金，保证湿地保护资金的投入力度，提高湿地公园管理建设水平。</w:t>
      </w:r>
    </w:p>
    <w:tbl>
      <w:tblPr>
        <w:tblStyle w:val="5"/>
        <w:tblW w:w="8910" w:type="dxa"/>
        <w:tblInd w:w="0" w:type="dxa"/>
        <w:shd w:val="clear" w:color="auto" w:fill="auto"/>
        <w:tblLayout w:type="fixed"/>
        <w:tblCellMar>
          <w:top w:w="0" w:type="dxa"/>
          <w:left w:w="0" w:type="dxa"/>
          <w:bottom w:w="0" w:type="dxa"/>
          <w:right w:w="0" w:type="dxa"/>
        </w:tblCellMar>
      </w:tblPr>
      <w:tblGrid>
        <w:gridCol w:w="630"/>
        <w:gridCol w:w="387"/>
        <w:gridCol w:w="1188"/>
        <w:gridCol w:w="885"/>
        <w:gridCol w:w="1047"/>
        <w:gridCol w:w="318"/>
        <w:gridCol w:w="930"/>
        <w:gridCol w:w="690"/>
        <w:gridCol w:w="375"/>
        <w:gridCol w:w="450"/>
        <w:gridCol w:w="465"/>
        <w:gridCol w:w="165"/>
        <w:gridCol w:w="690"/>
        <w:gridCol w:w="690"/>
      </w:tblGrid>
      <w:tr w14:paraId="6BB3F006">
        <w:tblPrEx>
          <w:shd w:val="clear" w:color="auto" w:fill="auto"/>
          <w:tblCellMar>
            <w:top w:w="0" w:type="dxa"/>
            <w:left w:w="0" w:type="dxa"/>
            <w:bottom w:w="0" w:type="dxa"/>
            <w:right w:w="0" w:type="dxa"/>
          </w:tblCellMar>
        </w:tblPrEx>
        <w:trPr>
          <w:trHeight w:val="405" w:hRule="atLeast"/>
        </w:trPr>
        <w:tc>
          <w:tcPr>
            <w:tcW w:w="8910" w:type="dxa"/>
            <w:gridSpan w:val="14"/>
            <w:tcBorders>
              <w:top w:val="nil"/>
              <w:left w:val="nil"/>
              <w:bottom w:val="nil"/>
              <w:right w:val="nil"/>
            </w:tcBorders>
            <w:shd w:val="clear" w:color="auto" w:fill="auto"/>
            <w:tcMar>
              <w:top w:w="15" w:type="dxa"/>
              <w:left w:w="15" w:type="dxa"/>
              <w:right w:w="15" w:type="dxa"/>
            </w:tcMar>
            <w:vAlign w:val="center"/>
          </w:tcPr>
          <w:p w14:paraId="79D84342">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14:paraId="1A9C7898">
        <w:tblPrEx>
          <w:tblCellMar>
            <w:top w:w="0" w:type="dxa"/>
            <w:left w:w="0" w:type="dxa"/>
            <w:bottom w:w="0" w:type="dxa"/>
            <w:right w:w="0" w:type="dxa"/>
          </w:tblCellMar>
        </w:tblPrEx>
        <w:trPr>
          <w:trHeight w:val="405" w:hRule="atLeast"/>
        </w:trPr>
        <w:tc>
          <w:tcPr>
            <w:tcW w:w="8910" w:type="dxa"/>
            <w:gridSpan w:val="14"/>
            <w:tcBorders>
              <w:top w:val="nil"/>
              <w:left w:val="nil"/>
              <w:bottom w:val="nil"/>
              <w:right w:val="nil"/>
            </w:tcBorders>
            <w:shd w:val="clear" w:color="auto" w:fill="auto"/>
            <w:tcMar>
              <w:top w:w="15" w:type="dxa"/>
              <w:left w:w="15" w:type="dxa"/>
              <w:right w:w="15" w:type="dxa"/>
            </w:tcMar>
            <w:vAlign w:val="center"/>
          </w:tcPr>
          <w:p w14:paraId="733AD271">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（2019年度）</w:t>
            </w:r>
          </w:p>
        </w:tc>
      </w:tr>
      <w:tr w14:paraId="4350D82B">
        <w:tblPrEx>
          <w:tblCellMar>
            <w:top w:w="0" w:type="dxa"/>
            <w:left w:w="0" w:type="dxa"/>
            <w:bottom w:w="0" w:type="dxa"/>
            <w:right w:w="0" w:type="dxa"/>
          </w:tblCellMar>
        </w:tblPrEx>
        <w:trPr>
          <w:trHeight w:val="319" w:hRule="atLeast"/>
        </w:trPr>
        <w:tc>
          <w:tcPr>
            <w:tcW w:w="101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DA1FC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7893"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7A4B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吉木萨尔北庭国家湿地公园</w:t>
            </w:r>
          </w:p>
        </w:tc>
      </w:tr>
      <w:tr w14:paraId="3CA43FA7">
        <w:tblPrEx>
          <w:tblCellMar>
            <w:top w:w="0" w:type="dxa"/>
            <w:left w:w="0" w:type="dxa"/>
            <w:bottom w:w="0" w:type="dxa"/>
            <w:right w:w="0" w:type="dxa"/>
          </w:tblCellMar>
        </w:tblPrEx>
        <w:trPr>
          <w:trHeight w:val="319" w:hRule="atLeast"/>
        </w:trPr>
        <w:tc>
          <w:tcPr>
            <w:tcW w:w="101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21C13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主管部门</w:t>
            </w:r>
          </w:p>
        </w:tc>
        <w:tc>
          <w:tcPr>
            <w:tcW w:w="436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865A4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吉木萨尔县自然资源局</w:t>
            </w:r>
          </w:p>
        </w:tc>
        <w:tc>
          <w:tcPr>
            <w:tcW w:w="10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DBEA5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实施单位</w:t>
            </w:r>
          </w:p>
        </w:tc>
        <w:tc>
          <w:tcPr>
            <w:tcW w:w="246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2B7BB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吉木萨尔县自然资源局</w:t>
            </w:r>
          </w:p>
        </w:tc>
      </w:tr>
      <w:tr w14:paraId="3AA19507">
        <w:tblPrEx>
          <w:tblCellMar>
            <w:top w:w="0" w:type="dxa"/>
            <w:left w:w="0" w:type="dxa"/>
            <w:bottom w:w="0" w:type="dxa"/>
            <w:right w:w="0" w:type="dxa"/>
          </w:tblCellMar>
        </w:tblPrEx>
        <w:trPr>
          <w:trHeight w:val="600" w:hRule="atLeast"/>
        </w:trPr>
        <w:tc>
          <w:tcPr>
            <w:tcW w:w="101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5F7D2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       （万元）</w:t>
            </w:r>
          </w:p>
        </w:tc>
        <w:tc>
          <w:tcPr>
            <w:tcW w:w="20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29D639">
            <w:pPr>
              <w:jc w:val="center"/>
              <w:rPr>
                <w:rFonts w:hint="eastAsia" w:ascii="宋体" w:hAnsi="宋体" w:eastAsia="宋体" w:cs="宋体"/>
                <w:i w:val="0"/>
                <w:color w:val="000000"/>
                <w:sz w:val="20"/>
                <w:szCs w:val="20"/>
                <w:u w:val="none"/>
              </w:rPr>
            </w:pPr>
          </w:p>
        </w:tc>
        <w:tc>
          <w:tcPr>
            <w:tcW w:w="10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6923B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年初预算数</w:t>
            </w:r>
          </w:p>
        </w:tc>
        <w:tc>
          <w:tcPr>
            <w:tcW w:w="12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6BD83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全年预算数</w:t>
            </w:r>
          </w:p>
        </w:tc>
        <w:tc>
          <w:tcPr>
            <w:tcW w:w="10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9CDCF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全年执行数</w:t>
            </w:r>
          </w:p>
        </w:tc>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6F12D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4FD40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执行率</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C7C0F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r>
      <w:tr w14:paraId="2FC8AE64">
        <w:tblPrEx>
          <w:tblCellMar>
            <w:top w:w="0" w:type="dxa"/>
            <w:left w:w="0" w:type="dxa"/>
            <w:bottom w:w="0" w:type="dxa"/>
            <w:right w:w="0" w:type="dxa"/>
          </w:tblCellMar>
        </w:tblPrEx>
        <w:trPr>
          <w:trHeight w:val="319" w:hRule="atLeast"/>
        </w:trPr>
        <w:tc>
          <w:tcPr>
            <w:tcW w:w="101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C2F794">
            <w:pPr>
              <w:jc w:val="center"/>
              <w:rPr>
                <w:rFonts w:hint="eastAsia" w:ascii="宋体" w:hAnsi="宋体" w:eastAsia="宋体" w:cs="宋体"/>
                <w:i w:val="0"/>
                <w:color w:val="000000"/>
                <w:sz w:val="20"/>
                <w:szCs w:val="20"/>
                <w:u w:val="none"/>
              </w:rPr>
            </w:pPr>
          </w:p>
        </w:tc>
        <w:tc>
          <w:tcPr>
            <w:tcW w:w="20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A666D3">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年度资金总额</w:t>
            </w:r>
          </w:p>
        </w:tc>
        <w:tc>
          <w:tcPr>
            <w:tcW w:w="10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DF5AB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300.00 </w:t>
            </w:r>
          </w:p>
        </w:tc>
        <w:tc>
          <w:tcPr>
            <w:tcW w:w="12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B5D14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300.00 </w:t>
            </w:r>
          </w:p>
        </w:tc>
        <w:tc>
          <w:tcPr>
            <w:tcW w:w="10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98C1A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300.00 </w:t>
            </w:r>
          </w:p>
        </w:tc>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9C451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97304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902D5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r>
      <w:tr w14:paraId="74B4ECBC">
        <w:tblPrEx>
          <w:tblCellMar>
            <w:top w:w="0" w:type="dxa"/>
            <w:left w:w="0" w:type="dxa"/>
            <w:bottom w:w="0" w:type="dxa"/>
            <w:right w:w="0" w:type="dxa"/>
          </w:tblCellMar>
        </w:tblPrEx>
        <w:trPr>
          <w:trHeight w:val="319" w:hRule="atLeast"/>
        </w:trPr>
        <w:tc>
          <w:tcPr>
            <w:tcW w:w="101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6DE4A6">
            <w:pPr>
              <w:jc w:val="center"/>
              <w:rPr>
                <w:rFonts w:hint="eastAsia" w:ascii="宋体" w:hAnsi="宋体" w:eastAsia="宋体" w:cs="宋体"/>
                <w:i w:val="0"/>
                <w:color w:val="000000"/>
                <w:sz w:val="20"/>
                <w:szCs w:val="20"/>
                <w:u w:val="none"/>
              </w:rPr>
            </w:pPr>
          </w:p>
        </w:tc>
        <w:tc>
          <w:tcPr>
            <w:tcW w:w="20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E7603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其中：当年财政拨款</w:t>
            </w:r>
          </w:p>
        </w:tc>
        <w:tc>
          <w:tcPr>
            <w:tcW w:w="10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38A6A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300.00 </w:t>
            </w:r>
          </w:p>
        </w:tc>
        <w:tc>
          <w:tcPr>
            <w:tcW w:w="12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5A46C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300.00 </w:t>
            </w:r>
          </w:p>
        </w:tc>
        <w:tc>
          <w:tcPr>
            <w:tcW w:w="10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68E2D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300.00 </w:t>
            </w:r>
          </w:p>
        </w:tc>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87B1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9A0C36">
            <w:pPr>
              <w:jc w:val="center"/>
              <w:rPr>
                <w:rFonts w:hint="eastAsia" w:ascii="宋体" w:hAnsi="宋体" w:eastAsia="宋体" w:cs="宋体"/>
                <w:i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84491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14:paraId="6ACB4D78">
        <w:tblPrEx>
          <w:tblCellMar>
            <w:top w:w="0" w:type="dxa"/>
            <w:left w:w="0" w:type="dxa"/>
            <w:bottom w:w="0" w:type="dxa"/>
            <w:right w:w="0" w:type="dxa"/>
          </w:tblCellMar>
        </w:tblPrEx>
        <w:trPr>
          <w:trHeight w:val="319" w:hRule="atLeast"/>
        </w:trPr>
        <w:tc>
          <w:tcPr>
            <w:tcW w:w="101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8B719A">
            <w:pPr>
              <w:jc w:val="center"/>
              <w:rPr>
                <w:rFonts w:hint="eastAsia" w:ascii="宋体" w:hAnsi="宋体" w:eastAsia="宋体" w:cs="宋体"/>
                <w:i w:val="0"/>
                <w:color w:val="000000"/>
                <w:sz w:val="20"/>
                <w:szCs w:val="20"/>
                <w:u w:val="none"/>
              </w:rPr>
            </w:pPr>
          </w:p>
        </w:tc>
        <w:tc>
          <w:tcPr>
            <w:tcW w:w="20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DACB3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上年结转资金</w:t>
            </w:r>
          </w:p>
        </w:tc>
        <w:tc>
          <w:tcPr>
            <w:tcW w:w="10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432B63">
            <w:pPr>
              <w:jc w:val="center"/>
              <w:rPr>
                <w:rFonts w:hint="eastAsia" w:ascii="宋体" w:hAnsi="宋体" w:eastAsia="宋体" w:cs="宋体"/>
                <w:i w:val="0"/>
                <w:color w:val="000000"/>
                <w:sz w:val="20"/>
                <w:szCs w:val="20"/>
                <w:u w:val="none"/>
              </w:rPr>
            </w:pPr>
          </w:p>
        </w:tc>
        <w:tc>
          <w:tcPr>
            <w:tcW w:w="12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D2B2BA">
            <w:pPr>
              <w:jc w:val="center"/>
              <w:rPr>
                <w:rFonts w:hint="eastAsia" w:ascii="宋体" w:hAnsi="宋体" w:eastAsia="宋体" w:cs="宋体"/>
                <w:i w:val="0"/>
                <w:color w:val="000000"/>
                <w:sz w:val="20"/>
                <w:szCs w:val="20"/>
                <w:u w:val="none"/>
              </w:rPr>
            </w:pPr>
          </w:p>
        </w:tc>
        <w:tc>
          <w:tcPr>
            <w:tcW w:w="10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260D74">
            <w:pPr>
              <w:jc w:val="center"/>
              <w:rPr>
                <w:rFonts w:hint="eastAsia" w:ascii="宋体" w:hAnsi="宋体" w:eastAsia="宋体" w:cs="宋体"/>
                <w:i w:val="0"/>
                <w:color w:val="000000"/>
                <w:sz w:val="20"/>
                <w:szCs w:val="20"/>
                <w:u w:val="none"/>
              </w:rPr>
            </w:pPr>
          </w:p>
        </w:tc>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F89C8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C6875A">
            <w:pPr>
              <w:jc w:val="center"/>
              <w:rPr>
                <w:rFonts w:hint="eastAsia" w:ascii="宋体" w:hAnsi="宋体" w:eastAsia="宋体" w:cs="宋体"/>
                <w:i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39E80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14:paraId="0FC6919F">
        <w:tblPrEx>
          <w:tblCellMar>
            <w:top w:w="0" w:type="dxa"/>
            <w:left w:w="0" w:type="dxa"/>
            <w:bottom w:w="0" w:type="dxa"/>
            <w:right w:w="0" w:type="dxa"/>
          </w:tblCellMar>
        </w:tblPrEx>
        <w:trPr>
          <w:trHeight w:val="319" w:hRule="atLeast"/>
        </w:trPr>
        <w:tc>
          <w:tcPr>
            <w:tcW w:w="101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E885EF">
            <w:pPr>
              <w:jc w:val="center"/>
              <w:rPr>
                <w:rFonts w:hint="eastAsia" w:ascii="宋体" w:hAnsi="宋体" w:eastAsia="宋体" w:cs="宋体"/>
                <w:i w:val="0"/>
                <w:color w:val="000000"/>
                <w:sz w:val="20"/>
                <w:szCs w:val="20"/>
                <w:u w:val="none"/>
              </w:rPr>
            </w:pPr>
          </w:p>
        </w:tc>
        <w:tc>
          <w:tcPr>
            <w:tcW w:w="20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CFDA7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其他资金</w:t>
            </w:r>
          </w:p>
        </w:tc>
        <w:tc>
          <w:tcPr>
            <w:tcW w:w="10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8F4767">
            <w:pPr>
              <w:jc w:val="center"/>
              <w:rPr>
                <w:rFonts w:hint="eastAsia" w:ascii="宋体" w:hAnsi="宋体" w:eastAsia="宋体" w:cs="宋体"/>
                <w:i w:val="0"/>
                <w:color w:val="000000"/>
                <w:sz w:val="20"/>
                <w:szCs w:val="20"/>
                <w:u w:val="none"/>
              </w:rPr>
            </w:pPr>
          </w:p>
        </w:tc>
        <w:tc>
          <w:tcPr>
            <w:tcW w:w="12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A144A">
            <w:pPr>
              <w:jc w:val="center"/>
              <w:rPr>
                <w:rFonts w:hint="eastAsia" w:ascii="宋体" w:hAnsi="宋体" w:eastAsia="宋体" w:cs="宋体"/>
                <w:i w:val="0"/>
                <w:color w:val="000000"/>
                <w:sz w:val="20"/>
                <w:szCs w:val="20"/>
                <w:u w:val="none"/>
              </w:rPr>
            </w:pPr>
          </w:p>
        </w:tc>
        <w:tc>
          <w:tcPr>
            <w:tcW w:w="10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602C6">
            <w:pPr>
              <w:jc w:val="center"/>
              <w:rPr>
                <w:rFonts w:hint="eastAsia" w:ascii="宋体" w:hAnsi="宋体" w:eastAsia="宋体" w:cs="宋体"/>
                <w:i w:val="0"/>
                <w:color w:val="000000"/>
                <w:sz w:val="20"/>
                <w:szCs w:val="20"/>
                <w:u w:val="none"/>
              </w:rPr>
            </w:pPr>
          </w:p>
        </w:tc>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D0AB3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19318">
            <w:pPr>
              <w:jc w:val="center"/>
              <w:rPr>
                <w:rFonts w:hint="eastAsia" w:ascii="宋体" w:hAnsi="宋体" w:eastAsia="宋体" w:cs="宋体"/>
                <w:i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2C63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14:paraId="06FB9517">
        <w:tblPrEx>
          <w:tblCellMar>
            <w:top w:w="0" w:type="dxa"/>
            <w:left w:w="0" w:type="dxa"/>
            <w:bottom w:w="0" w:type="dxa"/>
            <w:right w:w="0" w:type="dxa"/>
          </w:tblCellMar>
        </w:tblPrEx>
        <w:trPr>
          <w:trHeight w:val="319" w:hRule="atLeast"/>
        </w:trPr>
        <w:tc>
          <w:tcPr>
            <w:tcW w:w="63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BE19D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年度总体目标</w:t>
            </w:r>
          </w:p>
        </w:tc>
        <w:tc>
          <w:tcPr>
            <w:tcW w:w="475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41668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预期目标</w:t>
            </w:r>
          </w:p>
        </w:tc>
        <w:tc>
          <w:tcPr>
            <w:tcW w:w="3525"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1D1B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实际完成情况</w:t>
            </w:r>
          </w:p>
        </w:tc>
      </w:tr>
      <w:tr w14:paraId="4F9E7388">
        <w:tblPrEx>
          <w:tblCellMar>
            <w:top w:w="0" w:type="dxa"/>
            <w:left w:w="0" w:type="dxa"/>
            <w:bottom w:w="0" w:type="dxa"/>
            <w:right w:w="0" w:type="dxa"/>
          </w:tblCellMar>
        </w:tblPrEx>
        <w:trPr>
          <w:trHeight w:val="2040" w:hRule="atLeast"/>
        </w:trPr>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8534CA">
            <w:pPr>
              <w:jc w:val="center"/>
              <w:rPr>
                <w:rFonts w:hint="eastAsia" w:ascii="宋体" w:hAnsi="宋体" w:eastAsia="宋体" w:cs="宋体"/>
                <w:i w:val="0"/>
                <w:color w:val="000000"/>
                <w:sz w:val="20"/>
                <w:szCs w:val="20"/>
                <w:u w:val="none"/>
              </w:rPr>
            </w:pPr>
          </w:p>
        </w:tc>
        <w:tc>
          <w:tcPr>
            <w:tcW w:w="475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B2871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湿地公园于2014年12月经国家林业局批准(林湿发[2014]205号)同意开展试点建设，规划面积1492公顷，全长40公里，分生态保育区、宣教展示区、恢复重建区、合理利用区及管理服务区等设施建设。2019年迎接国家林业和草原局试点验收，验收通过后将对吉木萨尔县湿地生态恢复，人居环境改善，以及主推全域旅游的发展起到积极作用。2019计划完成核心区宣教长廊、木栈道、草坪灯、射灯、墙头灯、地角灯安装工程</w:t>
            </w:r>
          </w:p>
        </w:tc>
        <w:tc>
          <w:tcPr>
            <w:tcW w:w="3525"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C5150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已完成核心区观鸟塔、宣教长廊、木栈道、草坪灯、射灯、墙头灯、地角灯安装工程，基本完成《新疆吉木萨尔北庭国家湿地公园（试点）建设总体规划》中剩余建设任务，并迎接国家林业和草原局试点验收。</w:t>
            </w:r>
          </w:p>
        </w:tc>
      </w:tr>
      <w:tr w14:paraId="0AD3B05F">
        <w:tblPrEx>
          <w:shd w:val="clear" w:color="auto" w:fill="auto"/>
          <w:tblCellMar>
            <w:top w:w="0" w:type="dxa"/>
            <w:left w:w="0" w:type="dxa"/>
            <w:bottom w:w="0" w:type="dxa"/>
            <w:right w:w="0" w:type="dxa"/>
          </w:tblCellMar>
        </w:tblPrEx>
        <w:trPr>
          <w:trHeight w:val="319" w:hRule="atLeast"/>
        </w:trPr>
        <w:tc>
          <w:tcPr>
            <w:tcW w:w="630"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41A211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绩              效    指    标</w:t>
            </w:r>
          </w:p>
        </w:tc>
        <w:tc>
          <w:tcPr>
            <w:tcW w:w="38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BB458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一级指标</w:t>
            </w:r>
          </w:p>
        </w:tc>
        <w:tc>
          <w:tcPr>
            <w:tcW w:w="118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CB952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二级指标</w:t>
            </w:r>
          </w:p>
        </w:tc>
        <w:tc>
          <w:tcPr>
            <w:tcW w:w="225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7E1A7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三级指标</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B9C90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33019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w:t>
            </w:r>
          </w:p>
        </w:tc>
        <w:tc>
          <w:tcPr>
            <w:tcW w:w="82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B8CF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63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534B9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c>
          <w:tcPr>
            <w:tcW w:w="13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78A33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偏差原因分析及改进措施</w:t>
            </w:r>
          </w:p>
        </w:tc>
      </w:tr>
      <w:tr w14:paraId="4FFF8DFC">
        <w:tblPrEx>
          <w:tblCellMar>
            <w:top w:w="0" w:type="dxa"/>
            <w:left w:w="0" w:type="dxa"/>
            <w:bottom w:w="0" w:type="dxa"/>
            <w:right w:w="0" w:type="dxa"/>
          </w:tblCellMar>
        </w:tblPrEx>
        <w:trPr>
          <w:trHeight w:val="944" w:hRule="atLeast"/>
        </w:trPr>
        <w:tc>
          <w:tcPr>
            <w:tcW w:w="63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CB4F7C0">
            <w:pPr>
              <w:jc w:val="center"/>
              <w:rPr>
                <w:rFonts w:hint="eastAsia" w:ascii="宋体" w:hAnsi="宋体" w:eastAsia="宋体" w:cs="宋体"/>
                <w:i w:val="0"/>
                <w:color w:val="000000"/>
                <w:sz w:val="20"/>
                <w:szCs w:val="20"/>
                <w:u w:val="none"/>
              </w:rPr>
            </w:pPr>
          </w:p>
        </w:tc>
        <w:tc>
          <w:tcPr>
            <w:tcW w:w="3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071CC3">
            <w:pPr>
              <w:jc w:val="center"/>
              <w:rPr>
                <w:rFonts w:hint="eastAsia" w:ascii="宋体" w:hAnsi="宋体" w:eastAsia="宋体" w:cs="宋体"/>
                <w:i w:val="0"/>
                <w:color w:val="000000"/>
                <w:sz w:val="20"/>
                <w:szCs w:val="20"/>
                <w:u w:val="none"/>
              </w:rPr>
            </w:pPr>
          </w:p>
        </w:tc>
        <w:tc>
          <w:tcPr>
            <w:tcW w:w="11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3247F4">
            <w:pPr>
              <w:jc w:val="center"/>
              <w:rPr>
                <w:rFonts w:hint="eastAsia" w:ascii="宋体" w:hAnsi="宋体" w:eastAsia="宋体" w:cs="宋体"/>
                <w:i w:val="0"/>
                <w:color w:val="000000"/>
                <w:sz w:val="20"/>
                <w:szCs w:val="20"/>
                <w:u w:val="none"/>
              </w:rPr>
            </w:pPr>
          </w:p>
        </w:tc>
        <w:tc>
          <w:tcPr>
            <w:tcW w:w="225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DC6960">
            <w:pPr>
              <w:jc w:val="center"/>
              <w:rPr>
                <w:rFonts w:hint="eastAsia" w:ascii="宋体" w:hAnsi="宋体" w:eastAsia="宋体" w:cs="宋体"/>
                <w:i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5B80D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指标值</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5B389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完成值</w:t>
            </w:r>
          </w:p>
        </w:tc>
        <w:tc>
          <w:tcPr>
            <w:tcW w:w="82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13C880">
            <w:pPr>
              <w:jc w:val="center"/>
              <w:rPr>
                <w:rFonts w:hint="eastAsia" w:ascii="宋体" w:hAnsi="宋体" w:eastAsia="宋体" w:cs="宋体"/>
                <w:i w:val="0"/>
                <w:color w:val="000000"/>
                <w:sz w:val="20"/>
                <w:szCs w:val="20"/>
                <w:u w:val="none"/>
              </w:rPr>
            </w:pPr>
          </w:p>
        </w:tc>
        <w:tc>
          <w:tcPr>
            <w:tcW w:w="6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7B4E59">
            <w:pPr>
              <w:jc w:val="center"/>
              <w:rPr>
                <w:rFonts w:hint="eastAsia" w:ascii="宋体" w:hAnsi="宋体" w:eastAsia="宋体" w:cs="宋体"/>
                <w:i w:val="0"/>
                <w:color w:val="000000"/>
                <w:sz w:val="20"/>
                <w:szCs w:val="20"/>
                <w:u w:val="none"/>
              </w:rPr>
            </w:pPr>
          </w:p>
        </w:tc>
        <w:tc>
          <w:tcPr>
            <w:tcW w:w="13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7C70B">
            <w:pPr>
              <w:jc w:val="center"/>
              <w:rPr>
                <w:rFonts w:hint="eastAsia" w:ascii="宋体" w:hAnsi="宋体" w:eastAsia="宋体" w:cs="宋体"/>
                <w:i w:val="0"/>
                <w:color w:val="000000"/>
                <w:sz w:val="20"/>
                <w:szCs w:val="20"/>
                <w:u w:val="none"/>
              </w:rPr>
            </w:pPr>
          </w:p>
        </w:tc>
      </w:tr>
      <w:tr w14:paraId="05A70A63">
        <w:tblPrEx>
          <w:tblCellMar>
            <w:top w:w="0" w:type="dxa"/>
            <w:left w:w="0" w:type="dxa"/>
            <w:bottom w:w="0" w:type="dxa"/>
            <w:right w:w="0" w:type="dxa"/>
          </w:tblCellMar>
        </w:tblPrEx>
        <w:trPr>
          <w:trHeight w:val="319" w:hRule="atLeast"/>
        </w:trPr>
        <w:tc>
          <w:tcPr>
            <w:tcW w:w="63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99A2150">
            <w:pPr>
              <w:jc w:val="center"/>
              <w:rPr>
                <w:rFonts w:hint="eastAsia" w:ascii="宋体" w:hAnsi="宋体" w:eastAsia="宋体" w:cs="宋体"/>
                <w:i w:val="0"/>
                <w:color w:val="000000"/>
                <w:sz w:val="20"/>
                <w:szCs w:val="20"/>
                <w:u w:val="none"/>
              </w:rPr>
            </w:pPr>
          </w:p>
        </w:tc>
        <w:tc>
          <w:tcPr>
            <w:tcW w:w="38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EA650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118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A892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26899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观鸟塔</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72CC3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1个</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31031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1个</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83960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2BB7F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BD22C7">
            <w:pPr>
              <w:jc w:val="center"/>
              <w:rPr>
                <w:rFonts w:hint="eastAsia" w:ascii="宋体" w:hAnsi="宋体" w:eastAsia="宋体" w:cs="宋体"/>
                <w:i w:val="0"/>
                <w:color w:val="000000"/>
                <w:sz w:val="20"/>
                <w:szCs w:val="20"/>
                <w:u w:val="none"/>
              </w:rPr>
            </w:pPr>
          </w:p>
        </w:tc>
      </w:tr>
      <w:tr w14:paraId="11B902E9">
        <w:tblPrEx>
          <w:tblCellMar>
            <w:top w:w="0" w:type="dxa"/>
            <w:left w:w="0" w:type="dxa"/>
            <w:bottom w:w="0" w:type="dxa"/>
            <w:right w:w="0" w:type="dxa"/>
          </w:tblCellMar>
        </w:tblPrEx>
        <w:trPr>
          <w:trHeight w:val="560" w:hRule="atLeast"/>
        </w:trPr>
        <w:tc>
          <w:tcPr>
            <w:tcW w:w="63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EAE283C">
            <w:pPr>
              <w:jc w:val="center"/>
              <w:rPr>
                <w:rFonts w:hint="eastAsia" w:ascii="宋体" w:hAnsi="宋体" w:eastAsia="宋体" w:cs="宋体"/>
                <w:i w:val="0"/>
                <w:color w:val="000000"/>
                <w:sz w:val="20"/>
                <w:szCs w:val="20"/>
                <w:u w:val="none"/>
              </w:rPr>
            </w:pPr>
          </w:p>
        </w:tc>
        <w:tc>
          <w:tcPr>
            <w:tcW w:w="3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5B7205">
            <w:pPr>
              <w:jc w:val="center"/>
              <w:rPr>
                <w:rFonts w:hint="eastAsia" w:ascii="宋体" w:hAnsi="宋体" w:eastAsia="宋体" w:cs="宋体"/>
                <w:i w:val="0"/>
                <w:color w:val="000000"/>
                <w:sz w:val="20"/>
                <w:szCs w:val="20"/>
                <w:u w:val="none"/>
              </w:rPr>
            </w:pPr>
          </w:p>
        </w:tc>
        <w:tc>
          <w:tcPr>
            <w:tcW w:w="11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E5509A">
            <w:pPr>
              <w:jc w:val="center"/>
              <w:rPr>
                <w:rFonts w:hint="eastAsia" w:ascii="宋体" w:hAnsi="宋体" w:eastAsia="宋体" w:cs="宋体"/>
                <w:i w:val="0"/>
                <w:color w:val="000000"/>
                <w:sz w:val="20"/>
                <w:szCs w:val="20"/>
                <w:u w:val="none"/>
              </w:rPr>
            </w:pP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071C1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宣教长廊</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BE256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Style w:val="16"/>
                <w:sz w:val="20"/>
                <w:szCs w:val="20"/>
                <w:lang w:val="en-US" w:eastAsia="zh-CN" w:bidi="ar"/>
              </w:rPr>
              <w:t>500</w:t>
            </w:r>
            <w:r>
              <w:rPr>
                <w:rStyle w:val="14"/>
                <w:sz w:val="20"/>
                <w:szCs w:val="20"/>
                <w:lang w:val="en-US" w:eastAsia="zh-CN" w:bidi="ar"/>
              </w:rPr>
              <w:t>㎡</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6D812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Style w:val="16"/>
                <w:sz w:val="20"/>
                <w:szCs w:val="20"/>
                <w:lang w:val="en-US" w:eastAsia="zh-CN" w:bidi="ar"/>
              </w:rPr>
              <w:t>500</w:t>
            </w:r>
            <w:r>
              <w:rPr>
                <w:rStyle w:val="14"/>
                <w:sz w:val="20"/>
                <w:szCs w:val="20"/>
                <w:lang w:val="en-US" w:eastAsia="zh-CN" w:bidi="ar"/>
              </w:rPr>
              <w:t>㎡</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8996F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6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0B17B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9A8A88">
            <w:pPr>
              <w:jc w:val="center"/>
              <w:rPr>
                <w:rFonts w:hint="eastAsia" w:ascii="宋体" w:hAnsi="宋体" w:eastAsia="宋体" w:cs="宋体"/>
                <w:i w:val="0"/>
                <w:color w:val="000000"/>
                <w:sz w:val="20"/>
                <w:szCs w:val="20"/>
                <w:u w:val="none"/>
              </w:rPr>
            </w:pPr>
          </w:p>
        </w:tc>
      </w:tr>
      <w:tr w14:paraId="7AF72F07">
        <w:tblPrEx>
          <w:tblCellMar>
            <w:top w:w="0" w:type="dxa"/>
            <w:left w:w="0" w:type="dxa"/>
            <w:bottom w:w="0" w:type="dxa"/>
            <w:right w:w="0" w:type="dxa"/>
          </w:tblCellMar>
        </w:tblPrEx>
        <w:trPr>
          <w:trHeight w:val="560" w:hRule="atLeast"/>
        </w:trPr>
        <w:tc>
          <w:tcPr>
            <w:tcW w:w="63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F81476A">
            <w:pPr>
              <w:jc w:val="center"/>
              <w:rPr>
                <w:rFonts w:hint="eastAsia" w:ascii="宋体" w:hAnsi="宋体" w:eastAsia="宋体" w:cs="宋体"/>
                <w:i w:val="0"/>
                <w:color w:val="000000"/>
                <w:sz w:val="20"/>
                <w:szCs w:val="20"/>
                <w:u w:val="none"/>
              </w:rPr>
            </w:pPr>
          </w:p>
        </w:tc>
        <w:tc>
          <w:tcPr>
            <w:tcW w:w="3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C3D36F">
            <w:pPr>
              <w:jc w:val="center"/>
              <w:rPr>
                <w:rFonts w:hint="eastAsia" w:ascii="宋体" w:hAnsi="宋体" w:eastAsia="宋体" w:cs="宋体"/>
                <w:i w:val="0"/>
                <w:color w:val="000000"/>
                <w:sz w:val="20"/>
                <w:szCs w:val="20"/>
                <w:u w:val="none"/>
              </w:rPr>
            </w:pPr>
          </w:p>
        </w:tc>
        <w:tc>
          <w:tcPr>
            <w:tcW w:w="11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95071C">
            <w:pPr>
              <w:jc w:val="center"/>
              <w:rPr>
                <w:rFonts w:hint="eastAsia" w:ascii="宋体" w:hAnsi="宋体" w:eastAsia="宋体" w:cs="宋体"/>
                <w:i w:val="0"/>
                <w:color w:val="000000"/>
                <w:sz w:val="20"/>
                <w:szCs w:val="20"/>
                <w:u w:val="none"/>
              </w:rPr>
            </w:pP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0B1C7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木栈道</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63AB6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2500㎡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B3B7C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2500㎡</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1D98C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46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1E3835D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6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4A76291">
            <w:pPr>
              <w:jc w:val="center"/>
              <w:rPr>
                <w:rFonts w:hint="eastAsia" w:ascii="宋体" w:hAnsi="宋体" w:eastAsia="宋体" w:cs="宋体"/>
                <w:i w:val="0"/>
                <w:color w:val="000000"/>
                <w:sz w:val="20"/>
                <w:szCs w:val="20"/>
                <w:u w:val="none"/>
              </w:rPr>
            </w:pP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152356">
            <w:pPr>
              <w:jc w:val="center"/>
              <w:rPr>
                <w:rFonts w:hint="eastAsia" w:ascii="宋体" w:hAnsi="宋体" w:eastAsia="宋体" w:cs="宋体"/>
                <w:i w:val="0"/>
                <w:color w:val="000000"/>
                <w:sz w:val="20"/>
                <w:szCs w:val="20"/>
                <w:u w:val="none"/>
              </w:rPr>
            </w:pPr>
          </w:p>
        </w:tc>
      </w:tr>
      <w:tr w14:paraId="633E2866">
        <w:tblPrEx>
          <w:tblCellMar>
            <w:top w:w="0" w:type="dxa"/>
            <w:left w:w="0" w:type="dxa"/>
            <w:bottom w:w="0" w:type="dxa"/>
            <w:right w:w="0" w:type="dxa"/>
          </w:tblCellMar>
        </w:tblPrEx>
        <w:trPr>
          <w:trHeight w:val="620" w:hRule="atLeast"/>
        </w:trPr>
        <w:tc>
          <w:tcPr>
            <w:tcW w:w="63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284BA30">
            <w:pPr>
              <w:jc w:val="center"/>
              <w:rPr>
                <w:rFonts w:hint="eastAsia" w:ascii="宋体" w:hAnsi="宋体" w:eastAsia="宋体" w:cs="宋体"/>
                <w:i w:val="0"/>
                <w:color w:val="000000"/>
                <w:sz w:val="20"/>
                <w:szCs w:val="20"/>
                <w:u w:val="none"/>
              </w:rPr>
            </w:pPr>
          </w:p>
        </w:tc>
        <w:tc>
          <w:tcPr>
            <w:tcW w:w="3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72DEAE">
            <w:pPr>
              <w:jc w:val="center"/>
              <w:rPr>
                <w:rFonts w:hint="eastAsia" w:ascii="宋体" w:hAnsi="宋体" w:eastAsia="宋体" w:cs="宋体"/>
                <w:i w:val="0"/>
                <w:color w:val="000000"/>
                <w:sz w:val="20"/>
                <w:szCs w:val="20"/>
                <w:u w:val="none"/>
              </w:rPr>
            </w:pPr>
          </w:p>
        </w:tc>
        <w:tc>
          <w:tcPr>
            <w:tcW w:w="11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D30506">
            <w:pPr>
              <w:jc w:val="center"/>
              <w:rPr>
                <w:rFonts w:hint="eastAsia" w:ascii="宋体" w:hAnsi="宋体" w:eastAsia="宋体" w:cs="宋体"/>
                <w:i w:val="0"/>
                <w:color w:val="000000"/>
                <w:sz w:val="20"/>
                <w:szCs w:val="20"/>
                <w:u w:val="none"/>
              </w:rPr>
            </w:pP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B0C75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草坪灯、射灯、墙头灯、地角灯</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B0CBA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618个</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433D2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618个</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308E2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6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76EFC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D018F1">
            <w:pPr>
              <w:jc w:val="center"/>
              <w:rPr>
                <w:rFonts w:hint="eastAsia" w:ascii="宋体" w:hAnsi="宋体" w:eastAsia="宋体" w:cs="宋体"/>
                <w:i w:val="0"/>
                <w:color w:val="000000"/>
                <w:sz w:val="20"/>
                <w:szCs w:val="20"/>
                <w:u w:val="none"/>
              </w:rPr>
            </w:pPr>
          </w:p>
        </w:tc>
      </w:tr>
      <w:tr w14:paraId="2382EC9B">
        <w:tblPrEx>
          <w:tblCellMar>
            <w:top w:w="0" w:type="dxa"/>
            <w:left w:w="0" w:type="dxa"/>
            <w:bottom w:w="0" w:type="dxa"/>
            <w:right w:w="0" w:type="dxa"/>
          </w:tblCellMar>
        </w:tblPrEx>
        <w:trPr>
          <w:trHeight w:val="319" w:hRule="atLeast"/>
        </w:trPr>
        <w:tc>
          <w:tcPr>
            <w:tcW w:w="63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6BAF24A">
            <w:pPr>
              <w:jc w:val="center"/>
              <w:rPr>
                <w:rFonts w:hint="eastAsia" w:ascii="宋体" w:hAnsi="宋体" w:eastAsia="宋体" w:cs="宋体"/>
                <w:i w:val="0"/>
                <w:color w:val="000000"/>
                <w:sz w:val="20"/>
                <w:szCs w:val="20"/>
                <w:u w:val="none"/>
              </w:rPr>
            </w:pPr>
          </w:p>
        </w:tc>
        <w:tc>
          <w:tcPr>
            <w:tcW w:w="3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D99909">
            <w:pPr>
              <w:jc w:val="center"/>
              <w:rPr>
                <w:rFonts w:hint="eastAsia" w:ascii="宋体" w:hAnsi="宋体" w:eastAsia="宋体" w:cs="宋体"/>
                <w:i w:val="0"/>
                <w:color w:val="000000"/>
                <w:sz w:val="20"/>
                <w:szCs w:val="20"/>
                <w:u w:val="none"/>
              </w:rPr>
            </w:pPr>
          </w:p>
        </w:tc>
        <w:tc>
          <w:tcPr>
            <w:tcW w:w="118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0680B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4E0C4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项目完工及验收率</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E91BF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AFD45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389AF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A9AB2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1A41D9">
            <w:pPr>
              <w:jc w:val="center"/>
              <w:rPr>
                <w:rFonts w:hint="eastAsia" w:ascii="宋体" w:hAnsi="宋体" w:eastAsia="宋体" w:cs="宋体"/>
                <w:i w:val="0"/>
                <w:color w:val="000000"/>
                <w:sz w:val="20"/>
                <w:szCs w:val="20"/>
                <w:u w:val="none"/>
              </w:rPr>
            </w:pPr>
          </w:p>
        </w:tc>
      </w:tr>
      <w:tr w14:paraId="256E21BC">
        <w:tblPrEx>
          <w:tblCellMar>
            <w:top w:w="0" w:type="dxa"/>
            <w:left w:w="0" w:type="dxa"/>
            <w:bottom w:w="0" w:type="dxa"/>
            <w:right w:w="0" w:type="dxa"/>
          </w:tblCellMar>
        </w:tblPrEx>
        <w:trPr>
          <w:trHeight w:val="319" w:hRule="atLeast"/>
        </w:trPr>
        <w:tc>
          <w:tcPr>
            <w:tcW w:w="63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862D580">
            <w:pPr>
              <w:jc w:val="center"/>
              <w:rPr>
                <w:rFonts w:hint="eastAsia" w:ascii="宋体" w:hAnsi="宋体" w:eastAsia="宋体" w:cs="宋体"/>
                <w:i w:val="0"/>
                <w:color w:val="000000"/>
                <w:sz w:val="20"/>
                <w:szCs w:val="20"/>
                <w:u w:val="none"/>
              </w:rPr>
            </w:pPr>
          </w:p>
        </w:tc>
        <w:tc>
          <w:tcPr>
            <w:tcW w:w="3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461312">
            <w:pPr>
              <w:jc w:val="center"/>
              <w:rPr>
                <w:rFonts w:hint="eastAsia" w:ascii="宋体" w:hAnsi="宋体" w:eastAsia="宋体" w:cs="宋体"/>
                <w:i w:val="0"/>
                <w:color w:val="000000"/>
                <w:sz w:val="20"/>
                <w:szCs w:val="20"/>
                <w:u w:val="none"/>
              </w:rPr>
            </w:pPr>
          </w:p>
        </w:tc>
        <w:tc>
          <w:tcPr>
            <w:tcW w:w="11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E2352A">
            <w:pPr>
              <w:jc w:val="center"/>
              <w:rPr>
                <w:rFonts w:hint="eastAsia" w:ascii="宋体" w:hAnsi="宋体" w:eastAsia="宋体" w:cs="宋体"/>
                <w:i w:val="0"/>
                <w:color w:val="000000"/>
                <w:sz w:val="20"/>
                <w:szCs w:val="20"/>
                <w:u w:val="none"/>
              </w:rPr>
            </w:pP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91642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资金保障率</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BBD72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4C3B0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18894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AC61B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523756">
            <w:pPr>
              <w:jc w:val="center"/>
              <w:rPr>
                <w:rFonts w:hint="eastAsia" w:ascii="宋体" w:hAnsi="宋体" w:eastAsia="宋体" w:cs="宋体"/>
                <w:i w:val="0"/>
                <w:color w:val="000000"/>
                <w:sz w:val="20"/>
                <w:szCs w:val="20"/>
                <w:u w:val="none"/>
              </w:rPr>
            </w:pPr>
          </w:p>
        </w:tc>
      </w:tr>
      <w:tr w14:paraId="118FF9BD">
        <w:tblPrEx>
          <w:tblCellMar>
            <w:top w:w="0" w:type="dxa"/>
            <w:left w:w="0" w:type="dxa"/>
            <w:bottom w:w="0" w:type="dxa"/>
            <w:right w:w="0" w:type="dxa"/>
          </w:tblCellMar>
        </w:tblPrEx>
        <w:trPr>
          <w:trHeight w:val="319" w:hRule="atLeast"/>
        </w:trPr>
        <w:tc>
          <w:tcPr>
            <w:tcW w:w="63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F733975">
            <w:pPr>
              <w:jc w:val="center"/>
              <w:rPr>
                <w:rFonts w:hint="eastAsia" w:ascii="宋体" w:hAnsi="宋体" w:eastAsia="宋体" w:cs="宋体"/>
                <w:i w:val="0"/>
                <w:color w:val="000000"/>
                <w:sz w:val="20"/>
                <w:szCs w:val="20"/>
                <w:u w:val="none"/>
              </w:rPr>
            </w:pPr>
          </w:p>
        </w:tc>
        <w:tc>
          <w:tcPr>
            <w:tcW w:w="3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5521C0">
            <w:pPr>
              <w:jc w:val="center"/>
              <w:rPr>
                <w:rFonts w:hint="eastAsia" w:ascii="宋体" w:hAnsi="宋体" w:eastAsia="宋体" w:cs="宋体"/>
                <w:i w:val="0"/>
                <w:color w:val="000000"/>
                <w:sz w:val="20"/>
                <w:szCs w:val="20"/>
                <w:u w:val="none"/>
              </w:rPr>
            </w:pP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0D61F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76FB4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资金支付及时率</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CFDEB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4F643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1C69D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6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EA7A4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00385B">
            <w:pPr>
              <w:jc w:val="center"/>
              <w:rPr>
                <w:rFonts w:hint="eastAsia" w:ascii="宋体" w:hAnsi="宋体" w:eastAsia="宋体" w:cs="宋体"/>
                <w:i w:val="0"/>
                <w:color w:val="000000"/>
                <w:sz w:val="20"/>
                <w:szCs w:val="20"/>
                <w:u w:val="none"/>
              </w:rPr>
            </w:pPr>
          </w:p>
        </w:tc>
      </w:tr>
      <w:tr w14:paraId="169F33E0">
        <w:tblPrEx>
          <w:tblCellMar>
            <w:top w:w="0" w:type="dxa"/>
            <w:left w:w="0" w:type="dxa"/>
            <w:bottom w:w="0" w:type="dxa"/>
            <w:right w:w="0" w:type="dxa"/>
          </w:tblCellMar>
        </w:tblPrEx>
        <w:trPr>
          <w:trHeight w:val="319" w:hRule="atLeast"/>
        </w:trPr>
        <w:tc>
          <w:tcPr>
            <w:tcW w:w="63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D2A8801">
            <w:pPr>
              <w:jc w:val="center"/>
              <w:rPr>
                <w:rFonts w:hint="eastAsia" w:ascii="宋体" w:hAnsi="宋体" w:eastAsia="宋体" w:cs="宋体"/>
                <w:i w:val="0"/>
                <w:color w:val="000000"/>
                <w:sz w:val="20"/>
                <w:szCs w:val="20"/>
                <w:u w:val="none"/>
              </w:rPr>
            </w:pPr>
          </w:p>
        </w:tc>
        <w:tc>
          <w:tcPr>
            <w:tcW w:w="3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31A461">
            <w:pPr>
              <w:jc w:val="center"/>
              <w:rPr>
                <w:rFonts w:hint="eastAsia" w:ascii="宋体" w:hAnsi="宋体" w:eastAsia="宋体" w:cs="宋体"/>
                <w:i w:val="0"/>
                <w:color w:val="000000"/>
                <w:sz w:val="20"/>
                <w:szCs w:val="20"/>
                <w:u w:val="none"/>
              </w:rPr>
            </w:pPr>
          </w:p>
        </w:tc>
        <w:tc>
          <w:tcPr>
            <w:tcW w:w="118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83DB0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37FFC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工程费用</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96ADD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11CF0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240</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A0E8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C13E7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683319">
            <w:pPr>
              <w:jc w:val="center"/>
              <w:rPr>
                <w:rFonts w:hint="eastAsia" w:ascii="宋体" w:hAnsi="宋体" w:eastAsia="宋体" w:cs="宋体"/>
                <w:i w:val="0"/>
                <w:color w:val="000000"/>
                <w:sz w:val="20"/>
                <w:szCs w:val="20"/>
                <w:u w:val="none"/>
              </w:rPr>
            </w:pPr>
          </w:p>
        </w:tc>
      </w:tr>
      <w:tr w14:paraId="684D08C8">
        <w:tblPrEx>
          <w:tblCellMar>
            <w:top w:w="0" w:type="dxa"/>
            <w:left w:w="0" w:type="dxa"/>
            <w:bottom w:w="0" w:type="dxa"/>
            <w:right w:w="0" w:type="dxa"/>
          </w:tblCellMar>
        </w:tblPrEx>
        <w:trPr>
          <w:trHeight w:val="319" w:hRule="atLeast"/>
        </w:trPr>
        <w:tc>
          <w:tcPr>
            <w:tcW w:w="63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7807D9A">
            <w:pPr>
              <w:jc w:val="center"/>
              <w:rPr>
                <w:rFonts w:hint="eastAsia" w:ascii="宋体" w:hAnsi="宋体" w:eastAsia="宋体" w:cs="宋体"/>
                <w:i w:val="0"/>
                <w:color w:val="000000"/>
                <w:sz w:val="20"/>
                <w:szCs w:val="20"/>
                <w:u w:val="none"/>
              </w:rPr>
            </w:pPr>
          </w:p>
        </w:tc>
        <w:tc>
          <w:tcPr>
            <w:tcW w:w="3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4AF664">
            <w:pPr>
              <w:jc w:val="center"/>
              <w:rPr>
                <w:rFonts w:hint="eastAsia" w:ascii="宋体" w:hAnsi="宋体" w:eastAsia="宋体" w:cs="宋体"/>
                <w:i w:val="0"/>
                <w:color w:val="000000"/>
                <w:sz w:val="20"/>
                <w:szCs w:val="20"/>
                <w:u w:val="none"/>
              </w:rPr>
            </w:pPr>
          </w:p>
        </w:tc>
        <w:tc>
          <w:tcPr>
            <w:tcW w:w="11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5D7DEF">
            <w:pPr>
              <w:jc w:val="center"/>
              <w:rPr>
                <w:rFonts w:hint="eastAsia" w:ascii="宋体" w:hAnsi="宋体" w:eastAsia="宋体" w:cs="宋体"/>
                <w:i w:val="0"/>
                <w:color w:val="000000"/>
                <w:sz w:val="20"/>
                <w:szCs w:val="20"/>
                <w:u w:val="none"/>
              </w:rPr>
            </w:pP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49700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人工费用</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DCB5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6ECB0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60</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B8B64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C8C11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3ECF68">
            <w:pPr>
              <w:jc w:val="center"/>
              <w:rPr>
                <w:rFonts w:hint="eastAsia" w:ascii="宋体" w:hAnsi="宋体" w:eastAsia="宋体" w:cs="宋体"/>
                <w:i w:val="0"/>
                <w:color w:val="000000"/>
                <w:sz w:val="20"/>
                <w:szCs w:val="20"/>
                <w:u w:val="none"/>
              </w:rPr>
            </w:pPr>
          </w:p>
        </w:tc>
      </w:tr>
      <w:tr w14:paraId="67A44F8E">
        <w:tblPrEx>
          <w:tblCellMar>
            <w:top w:w="0" w:type="dxa"/>
            <w:left w:w="0" w:type="dxa"/>
            <w:bottom w:w="0" w:type="dxa"/>
            <w:right w:w="0" w:type="dxa"/>
          </w:tblCellMar>
        </w:tblPrEx>
        <w:trPr>
          <w:trHeight w:val="480" w:hRule="atLeast"/>
        </w:trPr>
        <w:tc>
          <w:tcPr>
            <w:tcW w:w="63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4FC4364">
            <w:pPr>
              <w:jc w:val="center"/>
              <w:rPr>
                <w:rFonts w:hint="eastAsia" w:ascii="宋体" w:hAnsi="宋体" w:eastAsia="宋体" w:cs="宋体"/>
                <w:i w:val="0"/>
                <w:color w:val="000000"/>
                <w:sz w:val="20"/>
                <w:szCs w:val="20"/>
                <w:u w:val="none"/>
              </w:rPr>
            </w:pPr>
          </w:p>
        </w:tc>
        <w:tc>
          <w:tcPr>
            <w:tcW w:w="38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610B2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C4999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18"/>
                <w:szCs w:val="18"/>
                <w:u w:val="none"/>
                <w:lang w:val="en-US" w:eastAsia="zh-CN" w:bidi="ar"/>
              </w:rPr>
              <w:t>经济效益指标</w:t>
            </w: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24BA50">
            <w:pPr>
              <w:jc w:val="left"/>
              <w:rPr>
                <w:rFonts w:hint="eastAsia" w:ascii="宋体" w:hAnsi="宋体" w:eastAsia="宋体" w:cs="宋体"/>
                <w:i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5AE6C9">
            <w:pPr>
              <w:jc w:val="center"/>
              <w:rPr>
                <w:rFonts w:hint="eastAsia" w:ascii="宋体" w:hAnsi="宋体" w:eastAsia="宋体" w:cs="宋体"/>
                <w:i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967F19">
            <w:pPr>
              <w:jc w:val="center"/>
              <w:rPr>
                <w:rFonts w:hint="eastAsia" w:ascii="宋体" w:hAnsi="宋体" w:eastAsia="宋体" w:cs="宋体"/>
                <w:i w:val="0"/>
                <w:color w:val="000000"/>
                <w:sz w:val="20"/>
                <w:szCs w:val="20"/>
                <w:u w:val="none"/>
              </w:rPr>
            </w:pP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5446E1">
            <w:pPr>
              <w:jc w:val="center"/>
              <w:rPr>
                <w:rFonts w:hint="eastAsia" w:ascii="宋体" w:hAnsi="宋体" w:eastAsia="宋体" w:cs="宋体"/>
                <w:i w:val="0"/>
                <w:color w:val="000000"/>
                <w:sz w:val="20"/>
                <w:szCs w:val="20"/>
                <w:u w:val="none"/>
              </w:rPr>
            </w:pPr>
          </w:p>
        </w:tc>
        <w:tc>
          <w:tcPr>
            <w:tcW w:w="6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0F213C">
            <w:pPr>
              <w:jc w:val="center"/>
              <w:rPr>
                <w:rFonts w:hint="eastAsia" w:ascii="宋体" w:hAnsi="宋体" w:eastAsia="宋体" w:cs="宋体"/>
                <w:i w:val="0"/>
                <w:color w:val="000000"/>
                <w:sz w:val="20"/>
                <w:szCs w:val="20"/>
                <w:u w:val="none"/>
              </w:rPr>
            </w:pP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138CB">
            <w:pPr>
              <w:jc w:val="center"/>
              <w:rPr>
                <w:rFonts w:hint="eastAsia" w:ascii="宋体" w:hAnsi="宋体" w:eastAsia="宋体" w:cs="宋体"/>
                <w:i w:val="0"/>
                <w:color w:val="000000"/>
                <w:sz w:val="20"/>
                <w:szCs w:val="20"/>
                <w:u w:val="none"/>
              </w:rPr>
            </w:pPr>
          </w:p>
        </w:tc>
      </w:tr>
      <w:tr w14:paraId="25D4305C">
        <w:tblPrEx>
          <w:tblCellMar>
            <w:top w:w="0" w:type="dxa"/>
            <w:left w:w="0" w:type="dxa"/>
            <w:bottom w:w="0" w:type="dxa"/>
            <w:right w:w="0" w:type="dxa"/>
          </w:tblCellMar>
        </w:tblPrEx>
        <w:trPr>
          <w:trHeight w:val="540" w:hRule="atLeast"/>
        </w:trPr>
        <w:tc>
          <w:tcPr>
            <w:tcW w:w="63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D3F993F">
            <w:pPr>
              <w:jc w:val="center"/>
              <w:rPr>
                <w:rFonts w:hint="eastAsia" w:ascii="宋体" w:hAnsi="宋体" w:eastAsia="宋体" w:cs="宋体"/>
                <w:i w:val="0"/>
                <w:color w:val="000000"/>
                <w:sz w:val="20"/>
                <w:szCs w:val="20"/>
                <w:u w:val="none"/>
              </w:rPr>
            </w:pPr>
          </w:p>
        </w:tc>
        <w:tc>
          <w:tcPr>
            <w:tcW w:w="3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EF0B7B">
            <w:pPr>
              <w:jc w:val="center"/>
              <w:rPr>
                <w:rFonts w:hint="eastAsia" w:ascii="宋体" w:hAnsi="宋体" w:eastAsia="宋体" w:cs="宋体"/>
                <w:i w:val="0"/>
                <w:color w:val="000000"/>
                <w:sz w:val="20"/>
                <w:szCs w:val="20"/>
                <w:u w:val="none"/>
              </w:rPr>
            </w:pPr>
          </w:p>
        </w:tc>
        <w:tc>
          <w:tcPr>
            <w:tcW w:w="1188"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4463E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65B9C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有效促进湿地文化和生态文明的形成和传播</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FC5DB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促进</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34958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促进</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0304E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847AB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A64BA7">
            <w:pPr>
              <w:jc w:val="center"/>
              <w:rPr>
                <w:rFonts w:hint="eastAsia" w:ascii="宋体" w:hAnsi="宋体" w:eastAsia="宋体" w:cs="宋体"/>
                <w:i w:val="0"/>
                <w:color w:val="000000"/>
                <w:sz w:val="20"/>
                <w:szCs w:val="20"/>
                <w:u w:val="none"/>
              </w:rPr>
            </w:pPr>
          </w:p>
        </w:tc>
      </w:tr>
      <w:tr w14:paraId="68CFDEA3">
        <w:tblPrEx>
          <w:tblCellMar>
            <w:top w:w="0" w:type="dxa"/>
            <w:left w:w="0" w:type="dxa"/>
            <w:bottom w:w="0" w:type="dxa"/>
            <w:right w:w="0" w:type="dxa"/>
          </w:tblCellMar>
        </w:tblPrEx>
        <w:trPr>
          <w:trHeight w:val="840" w:hRule="atLeast"/>
        </w:trPr>
        <w:tc>
          <w:tcPr>
            <w:tcW w:w="63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B1766C1">
            <w:pPr>
              <w:jc w:val="center"/>
              <w:rPr>
                <w:rFonts w:hint="eastAsia" w:ascii="宋体" w:hAnsi="宋体" w:eastAsia="宋体" w:cs="宋体"/>
                <w:i w:val="0"/>
                <w:color w:val="000000"/>
                <w:sz w:val="20"/>
                <w:szCs w:val="20"/>
                <w:u w:val="none"/>
              </w:rPr>
            </w:pPr>
          </w:p>
        </w:tc>
        <w:tc>
          <w:tcPr>
            <w:tcW w:w="3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A0D3C6">
            <w:pPr>
              <w:jc w:val="center"/>
              <w:rPr>
                <w:rFonts w:hint="eastAsia" w:ascii="宋体" w:hAnsi="宋体" w:eastAsia="宋体" w:cs="宋体"/>
                <w:i w:val="0"/>
                <w:color w:val="000000"/>
                <w:sz w:val="20"/>
                <w:szCs w:val="20"/>
                <w:u w:val="none"/>
              </w:rPr>
            </w:pPr>
          </w:p>
        </w:tc>
        <w:tc>
          <w:tcPr>
            <w:tcW w:w="1188"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935706">
            <w:pPr>
              <w:jc w:val="center"/>
              <w:rPr>
                <w:rFonts w:hint="eastAsia" w:ascii="宋体" w:hAnsi="宋体" w:eastAsia="宋体" w:cs="宋体"/>
                <w:i w:val="0"/>
                <w:color w:val="000000"/>
                <w:sz w:val="20"/>
                <w:szCs w:val="20"/>
                <w:u w:val="none"/>
              </w:rPr>
            </w:pP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249AB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有效提高社会各界爱护湿地、保护环境的意识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DB31F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提高</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B4B87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提高</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484FB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15BD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ED6DC1">
            <w:pPr>
              <w:jc w:val="center"/>
              <w:rPr>
                <w:rFonts w:hint="eastAsia" w:ascii="宋体" w:hAnsi="宋体" w:eastAsia="宋体" w:cs="宋体"/>
                <w:i w:val="0"/>
                <w:color w:val="000000"/>
                <w:sz w:val="20"/>
                <w:szCs w:val="20"/>
                <w:u w:val="none"/>
              </w:rPr>
            </w:pPr>
          </w:p>
        </w:tc>
      </w:tr>
      <w:tr w14:paraId="048E80D3">
        <w:tblPrEx>
          <w:tblCellMar>
            <w:top w:w="0" w:type="dxa"/>
            <w:left w:w="0" w:type="dxa"/>
            <w:bottom w:w="0" w:type="dxa"/>
            <w:right w:w="0" w:type="dxa"/>
          </w:tblCellMar>
        </w:tblPrEx>
        <w:trPr>
          <w:trHeight w:val="600" w:hRule="atLeast"/>
        </w:trPr>
        <w:tc>
          <w:tcPr>
            <w:tcW w:w="63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2B5BF82">
            <w:pPr>
              <w:jc w:val="center"/>
              <w:rPr>
                <w:rFonts w:hint="eastAsia" w:ascii="宋体" w:hAnsi="宋体" w:eastAsia="宋体" w:cs="宋体"/>
                <w:i w:val="0"/>
                <w:color w:val="000000"/>
                <w:sz w:val="20"/>
                <w:szCs w:val="20"/>
                <w:u w:val="none"/>
              </w:rPr>
            </w:pPr>
          </w:p>
        </w:tc>
        <w:tc>
          <w:tcPr>
            <w:tcW w:w="3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585C13">
            <w:pPr>
              <w:jc w:val="center"/>
              <w:rPr>
                <w:rFonts w:hint="eastAsia" w:ascii="宋体" w:hAnsi="宋体" w:eastAsia="宋体" w:cs="宋体"/>
                <w:i w:val="0"/>
                <w:color w:val="000000"/>
                <w:sz w:val="20"/>
                <w:szCs w:val="20"/>
                <w:u w:val="none"/>
              </w:rPr>
            </w:pPr>
          </w:p>
        </w:tc>
        <w:tc>
          <w:tcPr>
            <w:tcW w:w="1188"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ABDE93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生态效益指标</w:t>
            </w: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ABFA6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调节气候，提高湿地公园涵养水源功能</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433C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提高</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4F5AC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提高</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866F2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78F9A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70F29C">
            <w:pPr>
              <w:jc w:val="center"/>
              <w:rPr>
                <w:rFonts w:hint="eastAsia" w:ascii="宋体" w:hAnsi="宋体" w:eastAsia="宋体" w:cs="宋体"/>
                <w:i w:val="0"/>
                <w:color w:val="000000"/>
                <w:sz w:val="20"/>
                <w:szCs w:val="20"/>
                <w:u w:val="none"/>
              </w:rPr>
            </w:pPr>
          </w:p>
        </w:tc>
      </w:tr>
      <w:tr w14:paraId="2CE82D88">
        <w:tblPrEx>
          <w:tblCellMar>
            <w:top w:w="0" w:type="dxa"/>
            <w:left w:w="0" w:type="dxa"/>
            <w:bottom w:w="0" w:type="dxa"/>
            <w:right w:w="0" w:type="dxa"/>
          </w:tblCellMar>
        </w:tblPrEx>
        <w:trPr>
          <w:trHeight w:val="780" w:hRule="atLeast"/>
        </w:trPr>
        <w:tc>
          <w:tcPr>
            <w:tcW w:w="63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8A91E44">
            <w:pPr>
              <w:jc w:val="center"/>
              <w:rPr>
                <w:rFonts w:hint="eastAsia" w:ascii="宋体" w:hAnsi="宋体" w:eastAsia="宋体" w:cs="宋体"/>
                <w:i w:val="0"/>
                <w:color w:val="000000"/>
                <w:sz w:val="20"/>
                <w:szCs w:val="20"/>
                <w:u w:val="none"/>
              </w:rPr>
            </w:pPr>
          </w:p>
        </w:tc>
        <w:tc>
          <w:tcPr>
            <w:tcW w:w="3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BC6E46">
            <w:pPr>
              <w:jc w:val="center"/>
              <w:rPr>
                <w:rFonts w:hint="eastAsia" w:ascii="宋体" w:hAnsi="宋体" w:eastAsia="宋体" w:cs="宋体"/>
                <w:i w:val="0"/>
                <w:color w:val="000000"/>
                <w:sz w:val="20"/>
                <w:szCs w:val="20"/>
                <w:u w:val="none"/>
              </w:rPr>
            </w:pPr>
          </w:p>
        </w:tc>
        <w:tc>
          <w:tcPr>
            <w:tcW w:w="118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8AE86ED">
            <w:pPr>
              <w:jc w:val="center"/>
              <w:rPr>
                <w:rFonts w:hint="eastAsia" w:ascii="宋体" w:hAnsi="宋体" w:eastAsia="宋体" w:cs="宋体"/>
                <w:i w:val="0"/>
                <w:color w:val="000000"/>
                <w:sz w:val="20"/>
                <w:szCs w:val="20"/>
                <w:u w:val="none"/>
              </w:rPr>
            </w:pP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6DDFA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丰富湿地生物多样性，保护野生动植物资源及栖息地环境</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B8504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改善</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467D5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改善</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EE583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8569F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AD88D6">
            <w:pPr>
              <w:jc w:val="center"/>
              <w:rPr>
                <w:rFonts w:hint="eastAsia" w:ascii="宋体" w:hAnsi="宋体" w:eastAsia="宋体" w:cs="宋体"/>
                <w:i w:val="0"/>
                <w:color w:val="000000"/>
                <w:sz w:val="20"/>
                <w:szCs w:val="20"/>
                <w:u w:val="none"/>
              </w:rPr>
            </w:pPr>
          </w:p>
        </w:tc>
      </w:tr>
      <w:tr w14:paraId="630C052E">
        <w:tblPrEx>
          <w:tblCellMar>
            <w:top w:w="0" w:type="dxa"/>
            <w:left w:w="0" w:type="dxa"/>
            <w:bottom w:w="0" w:type="dxa"/>
            <w:right w:w="0" w:type="dxa"/>
          </w:tblCellMar>
        </w:tblPrEx>
        <w:trPr>
          <w:trHeight w:val="700" w:hRule="atLeast"/>
        </w:trPr>
        <w:tc>
          <w:tcPr>
            <w:tcW w:w="63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74E76AD">
            <w:pPr>
              <w:jc w:val="center"/>
              <w:rPr>
                <w:rFonts w:hint="eastAsia" w:ascii="宋体" w:hAnsi="宋体" w:eastAsia="宋体" w:cs="宋体"/>
                <w:i w:val="0"/>
                <w:color w:val="000000"/>
                <w:sz w:val="20"/>
                <w:szCs w:val="20"/>
                <w:u w:val="none"/>
              </w:rPr>
            </w:pPr>
          </w:p>
        </w:tc>
        <w:tc>
          <w:tcPr>
            <w:tcW w:w="3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AD2600">
            <w:pPr>
              <w:jc w:val="center"/>
              <w:rPr>
                <w:rFonts w:hint="eastAsia" w:ascii="宋体" w:hAnsi="宋体" w:eastAsia="宋体" w:cs="宋体"/>
                <w:i w:val="0"/>
                <w:color w:val="000000"/>
                <w:sz w:val="20"/>
                <w:szCs w:val="20"/>
                <w:u w:val="none"/>
              </w:rPr>
            </w:pP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4EECD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可持续影响指标</w:t>
            </w: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E4B42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保护湿地资源，改善全县生态环境</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350C2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50年</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30653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50年</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541B5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35B7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B6403">
            <w:pPr>
              <w:jc w:val="center"/>
              <w:rPr>
                <w:rFonts w:hint="eastAsia" w:ascii="宋体" w:hAnsi="宋体" w:eastAsia="宋体" w:cs="宋体"/>
                <w:i w:val="0"/>
                <w:color w:val="000000"/>
                <w:sz w:val="20"/>
                <w:szCs w:val="20"/>
                <w:u w:val="none"/>
              </w:rPr>
            </w:pPr>
          </w:p>
        </w:tc>
      </w:tr>
      <w:tr w14:paraId="22D70BB7">
        <w:tblPrEx>
          <w:tblCellMar>
            <w:top w:w="0" w:type="dxa"/>
            <w:left w:w="0" w:type="dxa"/>
            <w:bottom w:w="0" w:type="dxa"/>
            <w:right w:w="0" w:type="dxa"/>
          </w:tblCellMar>
        </w:tblPrEx>
        <w:trPr>
          <w:trHeight w:val="319" w:hRule="atLeast"/>
        </w:trPr>
        <w:tc>
          <w:tcPr>
            <w:tcW w:w="63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8AC88AC">
            <w:pPr>
              <w:jc w:val="center"/>
              <w:rPr>
                <w:rFonts w:hint="eastAsia" w:ascii="宋体" w:hAnsi="宋体" w:eastAsia="宋体" w:cs="宋体"/>
                <w:i w:val="0"/>
                <w:color w:val="000000"/>
                <w:sz w:val="20"/>
                <w:szCs w:val="20"/>
                <w:u w:val="none"/>
              </w:rPr>
            </w:pPr>
          </w:p>
        </w:tc>
        <w:tc>
          <w:tcPr>
            <w:tcW w:w="38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D14AAC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B2F06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服务对象满意度指标</w:t>
            </w: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30A65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受益群众满意度</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DA01E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1A3DB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671A3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6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A8452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A33565">
            <w:pPr>
              <w:jc w:val="center"/>
              <w:rPr>
                <w:rFonts w:hint="eastAsia" w:ascii="宋体" w:hAnsi="宋体" w:eastAsia="宋体" w:cs="宋体"/>
                <w:i w:val="0"/>
                <w:color w:val="000000"/>
                <w:sz w:val="20"/>
                <w:szCs w:val="20"/>
                <w:u w:val="none"/>
              </w:rPr>
            </w:pPr>
          </w:p>
        </w:tc>
      </w:tr>
      <w:tr w14:paraId="6329A0E0">
        <w:tblPrEx>
          <w:tblCellMar>
            <w:top w:w="0" w:type="dxa"/>
            <w:left w:w="0" w:type="dxa"/>
            <w:bottom w:w="0" w:type="dxa"/>
            <w:right w:w="0" w:type="dxa"/>
          </w:tblCellMar>
        </w:tblPrEx>
        <w:trPr>
          <w:trHeight w:val="319" w:hRule="atLeast"/>
        </w:trPr>
        <w:tc>
          <w:tcPr>
            <w:tcW w:w="607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50A9E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总分</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0CC17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6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D5CA6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98</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2E33D1">
            <w:pPr>
              <w:jc w:val="center"/>
              <w:rPr>
                <w:rFonts w:hint="eastAsia" w:ascii="宋体" w:hAnsi="宋体" w:eastAsia="宋体" w:cs="宋体"/>
                <w:i w:val="0"/>
                <w:color w:val="000000"/>
                <w:sz w:val="20"/>
                <w:szCs w:val="20"/>
                <w:u w:val="none"/>
              </w:rPr>
            </w:pPr>
          </w:p>
        </w:tc>
      </w:tr>
    </w:tbl>
    <w:p w14:paraId="5BFF8B8A">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val="en-US" w:eastAsia="zh-CN"/>
        </w:rPr>
        <w:t>2.吉木萨尔县历史文化名城保护规划项目</w:t>
      </w:r>
      <w:r>
        <w:rPr>
          <w:rFonts w:hint="eastAsia" w:ascii="仿宋_GB2312" w:eastAsia="仿宋_GB2312"/>
          <w:sz w:val="32"/>
          <w:szCs w:val="32"/>
          <w:highlight w:val="none"/>
        </w:rPr>
        <w:t>绩效自评综述：根据年初设定的绩效目标，吉木萨尔县历史文化名城保护规划项目绩效自评得分为</w:t>
      </w:r>
      <w:r>
        <w:rPr>
          <w:rFonts w:hint="eastAsia" w:ascii="仿宋_GB2312" w:eastAsia="仿宋_GB2312"/>
          <w:sz w:val="32"/>
          <w:szCs w:val="32"/>
          <w:highlight w:val="none"/>
          <w:lang w:val="en-US" w:eastAsia="zh-CN"/>
        </w:rPr>
        <w:t>100</w:t>
      </w:r>
      <w:r>
        <w:rPr>
          <w:rFonts w:hint="eastAsia" w:ascii="仿宋_GB2312" w:eastAsia="仿宋_GB2312"/>
          <w:sz w:val="32"/>
          <w:szCs w:val="32"/>
          <w:highlight w:val="none"/>
        </w:rPr>
        <w:t>分。项目全年预算数为</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万元，执行数为</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万元，完成预算的1</w:t>
      </w:r>
      <w:r>
        <w:rPr>
          <w:rFonts w:hint="eastAsia" w:ascii="仿宋_GB2312" w:eastAsia="仿宋_GB2312"/>
          <w:sz w:val="32"/>
          <w:szCs w:val="32"/>
          <w:highlight w:val="none"/>
          <w:lang w:val="en-US" w:eastAsia="zh-CN"/>
        </w:rPr>
        <w:t>00%</w:t>
      </w:r>
      <w:r>
        <w:rPr>
          <w:rFonts w:hint="eastAsia" w:ascii="仿宋_GB2312" w:eastAsia="仿宋_GB2312"/>
          <w:sz w:val="32"/>
          <w:szCs w:val="32"/>
          <w:highlight w:val="none"/>
        </w:rPr>
        <w:t>。主要产出和效果：目前吉木萨尔县历史文化名城保护规划设计方案已通过州规委会评审，准备提交自治区住建厅评审</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发现的问题及原因：</w:t>
      </w:r>
      <w:r>
        <w:rPr>
          <w:rFonts w:hint="eastAsia" w:ascii="仿宋_GB2312" w:eastAsia="仿宋_GB2312"/>
          <w:sz w:val="32"/>
          <w:szCs w:val="32"/>
          <w:highlight w:val="none"/>
          <w:lang w:eastAsia="zh-CN"/>
        </w:rPr>
        <w:t>无问题</w:t>
      </w:r>
      <w:r>
        <w:rPr>
          <w:rFonts w:hint="eastAsia" w:ascii="仿宋_GB2312" w:eastAsia="仿宋_GB2312"/>
          <w:sz w:val="32"/>
          <w:szCs w:val="32"/>
          <w:highlight w:val="none"/>
        </w:rPr>
        <w:t>。下一步改进措施：</w:t>
      </w:r>
      <w:r>
        <w:rPr>
          <w:rFonts w:hint="eastAsia" w:ascii="仿宋_GB2312" w:eastAsia="仿宋_GB2312"/>
          <w:sz w:val="32"/>
          <w:szCs w:val="32"/>
          <w:highlight w:val="none"/>
          <w:lang w:eastAsia="zh-CN"/>
        </w:rPr>
        <w:t>无措施</w:t>
      </w:r>
      <w:r>
        <w:rPr>
          <w:rFonts w:hint="eastAsia" w:ascii="仿宋_GB2312" w:eastAsia="仿宋_GB2312"/>
          <w:sz w:val="32"/>
          <w:szCs w:val="32"/>
          <w:highlight w:val="none"/>
        </w:rPr>
        <w:t>。</w:t>
      </w:r>
    </w:p>
    <w:tbl>
      <w:tblPr>
        <w:tblStyle w:val="5"/>
        <w:tblW w:w="8336" w:type="dxa"/>
        <w:tblInd w:w="0" w:type="dxa"/>
        <w:shd w:val="clear" w:color="auto" w:fill="auto"/>
        <w:tblLayout w:type="fixed"/>
        <w:tblCellMar>
          <w:top w:w="0" w:type="dxa"/>
          <w:left w:w="0" w:type="dxa"/>
          <w:bottom w:w="0" w:type="dxa"/>
          <w:right w:w="0" w:type="dxa"/>
        </w:tblCellMar>
      </w:tblPr>
      <w:tblGrid>
        <w:gridCol w:w="557"/>
        <w:gridCol w:w="447"/>
        <w:gridCol w:w="784"/>
        <w:gridCol w:w="787"/>
        <w:gridCol w:w="872"/>
        <w:gridCol w:w="273"/>
        <w:gridCol w:w="1040"/>
        <w:gridCol w:w="932"/>
        <w:gridCol w:w="273"/>
        <w:gridCol w:w="415"/>
        <w:gridCol w:w="500"/>
        <w:gridCol w:w="122"/>
        <w:gridCol w:w="687"/>
        <w:gridCol w:w="647"/>
      </w:tblGrid>
      <w:tr w14:paraId="30665224">
        <w:tblPrEx>
          <w:shd w:val="clear" w:color="auto" w:fill="auto"/>
          <w:tblCellMar>
            <w:top w:w="0" w:type="dxa"/>
            <w:left w:w="0" w:type="dxa"/>
            <w:bottom w:w="0" w:type="dxa"/>
            <w:right w:w="0" w:type="dxa"/>
          </w:tblCellMar>
        </w:tblPrEx>
        <w:trPr>
          <w:trHeight w:val="405" w:hRule="atLeast"/>
        </w:trPr>
        <w:tc>
          <w:tcPr>
            <w:tcW w:w="8336" w:type="dxa"/>
            <w:gridSpan w:val="14"/>
            <w:tcBorders>
              <w:top w:val="nil"/>
              <w:left w:val="nil"/>
              <w:bottom w:val="nil"/>
              <w:right w:val="nil"/>
            </w:tcBorders>
            <w:shd w:val="clear" w:color="auto" w:fill="auto"/>
            <w:tcMar>
              <w:top w:w="15" w:type="dxa"/>
              <w:left w:w="15" w:type="dxa"/>
              <w:right w:w="15" w:type="dxa"/>
            </w:tcMar>
            <w:vAlign w:val="center"/>
          </w:tcPr>
          <w:p w14:paraId="2A65F1B2">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14:paraId="7CE341EA">
        <w:tblPrEx>
          <w:tblCellMar>
            <w:top w:w="0" w:type="dxa"/>
            <w:left w:w="0" w:type="dxa"/>
            <w:bottom w:w="0" w:type="dxa"/>
            <w:right w:w="0" w:type="dxa"/>
          </w:tblCellMar>
        </w:tblPrEx>
        <w:trPr>
          <w:trHeight w:val="405" w:hRule="atLeast"/>
        </w:trPr>
        <w:tc>
          <w:tcPr>
            <w:tcW w:w="8336" w:type="dxa"/>
            <w:gridSpan w:val="14"/>
            <w:tcBorders>
              <w:top w:val="nil"/>
              <w:left w:val="nil"/>
              <w:bottom w:val="nil"/>
              <w:right w:val="nil"/>
            </w:tcBorders>
            <w:shd w:val="clear" w:color="auto" w:fill="auto"/>
            <w:tcMar>
              <w:top w:w="15" w:type="dxa"/>
              <w:left w:w="15" w:type="dxa"/>
              <w:right w:w="15" w:type="dxa"/>
            </w:tcMar>
            <w:vAlign w:val="center"/>
          </w:tcPr>
          <w:p w14:paraId="290D8312">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（2019年度）</w:t>
            </w:r>
          </w:p>
        </w:tc>
      </w:tr>
      <w:tr w14:paraId="493DEB0E">
        <w:tblPrEx>
          <w:tblCellMar>
            <w:top w:w="0" w:type="dxa"/>
            <w:left w:w="0" w:type="dxa"/>
            <w:bottom w:w="0" w:type="dxa"/>
            <w:right w:w="0" w:type="dxa"/>
          </w:tblCellMar>
        </w:tblPrEx>
        <w:trPr>
          <w:trHeight w:val="319" w:hRule="atLeast"/>
        </w:trPr>
        <w:tc>
          <w:tcPr>
            <w:tcW w:w="10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3532DB">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项目名称</w:t>
            </w:r>
          </w:p>
        </w:tc>
        <w:tc>
          <w:tcPr>
            <w:tcW w:w="7332"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6E6FBF">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吉木萨尔县历史文化名城保护规划</w:t>
            </w:r>
          </w:p>
        </w:tc>
      </w:tr>
      <w:tr w14:paraId="437CC735">
        <w:tblPrEx>
          <w:tblCellMar>
            <w:top w:w="0" w:type="dxa"/>
            <w:left w:w="0" w:type="dxa"/>
            <w:bottom w:w="0" w:type="dxa"/>
            <w:right w:w="0" w:type="dxa"/>
          </w:tblCellMar>
        </w:tblPrEx>
        <w:trPr>
          <w:trHeight w:val="319" w:hRule="atLeast"/>
        </w:trPr>
        <w:tc>
          <w:tcPr>
            <w:tcW w:w="10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98845A">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主管部门</w:t>
            </w:r>
          </w:p>
        </w:tc>
        <w:tc>
          <w:tcPr>
            <w:tcW w:w="37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536A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吉木萨尔县自然资源局</w:t>
            </w:r>
          </w:p>
        </w:tc>
        <w:tc>
          <w:tcPr>
            <w:tcW w:w="12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714136">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实施单位</w:t>
            </w:r>
          </w:p>
        </w:tc>
        <w:tc>
          <w:tcPr>
            <w:tcW w:w="237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D0298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吉木萨尔县自然资源局</w:t>
            </w:r>
          </w:p>
        </w:tc>
      </w:tr>
      <w:tr w14:paraId="372568F2">
        <w:tblPrEx>
          <w:tblCellMar>
            <w:top w:w="0" w:type="dxa"/>
            <w:left w:w="0" w:type="dxa"/>
            <w:bottom w:w="0" w:type="dxa"/>
            <w:right w:w="0" w:type="dxa"/>
          </w:tblCellMar>
        </w:tblPrEx>
        <w:trPr>
          <w:trHeight w:val="319" w:hRule="atLeast"/>
        </w:trPr>
        <w:tc>
          <w:tcPr>
            <w:tcW w:w="100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6B46B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项目资金       （万元）</w:t>
            </w:r>
          </w:p>
        </w:tc>
        <w:tc>
          <w:tcPr>
            <w:tcW w:w="157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FB04C7">
            <w:pPr>
              <w:jc w:val="center"/>
              <w:rPr>
                <w:rFonts w:hint="eastAsia" w:ascii="宋体" w:hAnsi="宋体" w:eastAsia="宋体" w:cs="宋体"/>
                <w:i w:val="0"/>
                <w:color w:val="000000"/>
                <w:sz w:val="22"/>
                <w:szCs w:val="22"/>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F220F2">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年初预算数</w:t>
            </w:r>
          </w:p>
        </w:tc>
        <w:tc>
          <w:tcPr>
            <w:tcW w:w="131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00A0C8">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全年预算数</w:t>
            </w:r>
          </w:p>
        </w:tc>
        <w:tc>
          <w:tcPr>
            <w:tcW w:w="12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9B342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全年执行数</w:t>
            </w:r>
          </w:p>
        </w:tc>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D0DC6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分值</w:t>
            </w:r>
          </w:p>
        </w:tc>
        <w:tc>
          <w:tcPr>
            <w:tcW w:w="8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7DC482">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执行率</w:t>
            </w:r>
          </w:p>
        </w:tc>
        <w:tc>
          <w:tcPr>
            <w:tcW w:w="6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2C5988">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得分</w:t>
            </w:r>
          </w:p>
        </w:tc>
      </w:tr>
      <w:tr w14:paraId="64435574">
        <w:tblPrEx>
          <w:tblCellMar>
            <w:top w:w="0" w:type="dxa"/>
            <w:left w:w="0" w:type="dxa"/>
            <w:bottom w:w="0" w:type="dxa"/>
            <w:right w:w="0" w:type="dxa"/>
          </w:tblCellMar>
        </w:tblPrEx>
        <w:trPr>
          <w:trHeight w:val="319" w:hRule="atLeast"/>
        </w:trPr>
        <w:tc>
          <w:tcPr>
            <w:tcW w:w="10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CFB8B9">
            <w:pPr>
              <w:jc w:val="center"/>
              <w:rPr>
                <w:rFonts w:hint="eastAsia" w:ascii="宋体" w:hAnsi="宋体" w:eastAsia="宋体" w:cs="宋体"/>
                <w:i w:val="0"/>
                <w:color w:val="000000"/>
                <w:sz w:val="22"/>
                <w:szCs w:val="22"/>
                <w:u w:val="none"/>
              </w:rPr>
            </w:pPr>
          </w:p>
        </w:tc>
        <w:tc>
          <w:tcPr>
            <w:tcW w:w="157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3DACEC">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年度资金总额</w:t>
            </w: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F2DCD4">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31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59E0C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77F008">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2CEF51">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8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29CFC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6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75221F">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r>
      <w:tr w14:paraId="4A70DEE8">
        <w:tblPrEx>
          <w:tblCellMar>
            <w:top w:w="0" w:type="dxa"/>
            <w:left w:w="0" w:type="dxa"/>
            <w:bottom w:w="0" w:type="dxa"/>
            <w:right w:w="0" w:type="dxa"/>
          </w:tblCellMar>
        </w:tblPrEx>
        <w:trPr>
          <w:trHeight w:val="319" w:hRule="atLeast"/>
        </w:trPr>
        <w:tc>
          <w:tcPr>
            <w:tcW w:w="10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655CF">
            <w:pPr>
              <w:jc w:val="center"/>
              <w:rPr>
                <w:rFonts w:hint="eastAsia" w:ascii="宋体" w:hAnsi="宋体" w:eastAsia="宋体" w:cs="宋体"/>
                <w:i w:val="0"/>
                <w:color w:val="000000"/>
                <w:sz w:val="22"/>
                <w:szCs w:val="22"/>
                <w:u w:val="none"/>
              </w:rPr>
            </w:pPr>
          </w:p>
        </w:tc>
        <w:tc>
          <w:tcPr>
            <w:tcW w:w="157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340D2">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其中：当年财政拨款</w:t>
            </w: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E74E2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31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1C597E">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D416F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491FF2">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8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CF208A">
            <w:pPr>
              <w:jc w:val="center"/>
              <w:rPr>
                <w:rFonts w:hint="eastAsia" w:ascii="宋体" w:hAnsi="宋体" w:eastAsia="宋体" w:cs="宋体"/>
                <w:i w:val="0"/>
                <w:color w:val="000000"/>
                <w:sz w:val="22"/>
                <w:szCs w:val="22"/>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C2CE8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r>
      <w:tr w14:paraId="11FF1BA2">
        <w:tblPrEx>
          <w:tblCellMar>
            <w:top w:w="0" w:type="dxa"/>
            <w:left w:w="0" w:type="dxa"/>
            <w:bottom w:w="0" w:type="dxa"/>
            <w:right w:w="0" w:type="dxa"/>
          </w:tblCellMar>
        </w:tblPrEx>
        <w:trPr>
          <w:trHeight w:val="319" w:hRule="atLeast"/>
        </w:trPr>
        <w:tc>
          <w:tcPr>
            <w:tcW w:w="10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86A4BD">
            <w:pPr>
              <w:jc w:val="center"/>
              <w:rPr>
                <w:rFonts w:hint="eastAsia" w:ascii="宋体" w:hAnsi="宋体" w:eastAsia="宋体" w:cs="宋体"/>
                <w:i w:val="0"/>
                <w:color w:val="000000"/>
                <w:sz w:val="22"/>
                <w:szCs w:val="22"/>
                <w:u w:val="none"/>
              </w:rPr>
            </w:pPr>
          </w:p>
        </w:tc>
        <w:tc>
          <w:tcPr>
            <w:tcW w:w="157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34E16">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上年结转资金</w:t>
            </w: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56FE5">
            <w:pPr>
              <w:jc w:val="center"/>
              <w:rPr>
                <w:rFonts w:hint="eastAsia" w:ascii="宋体" w:hAnsi="宋体" w:eastAsia="宋体" w:cs="宋体"/>
                <w:i w:val="0"/>
                <w:color w:val="000000"/>
                <w:sz w:val="22"/>
                <w:szCs w:val="22"/>
                <w:u w:val="none"/>
              </w:rPr>
            </w:pPr>
          </w:p>
        </w:tc>
        <w:tc>
          <w:tcPr>
            <w:tcW w:w="131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274D8B">
            <w:pPr>
              <w:jc w:val="center"/>
              <w:rPr>
                <w:rFonts w:hint="eastAsia" w:ascii="宋体" w:hAnsi="宋体" w:eastAsia="宋体" w:cs="宋体"/>
                <w:i w:val="0"/>
                <w:color w:val="000000"/>
                <w:sz w:val="22"/>
                <w:szCs w:val="22"/>
                <w:u w:val="none"/>
              </w:rPr>
            </w:pPr>
          </w:p>
        </w:tc>
        <w:tc>
          <w:tcPr>
            <w:tcW w:w="12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BEB0F0">
            <w:pPr>
              <w:jc w:val="center"/>
              <w:rPr>
                <w:rFonts w:hint="eastAsia" w:ascii="宋体" w:hAnsi="宋体" w:eastAsia="宋体" w:cs="宋体"/>
                <w:i w:val="0"/>
                <w:color w:val="000000"/>
                <w:sz w:val="22"/>
                <w:szCs w:val="22"/>
                <w:u w:val="none"/>
              </w:rPr>
            </w:pPr>
          </w:p>
        </w:tc>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29FE4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8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8C14C4">
            <w:pPr>
              <w:jc w:val="center"/>
              <w:rPr>
                <w:rFonts w:hint="eastAsia" w:ascii="宋体" w:hAnsi="宋体" w:eastAsia="宋体" w:cs="宋体"/>
                <w:i w:val="0"/>
                <w:color w:val="000000"/>
                <w:sz w:val="22"/>
                <w:szCs w:val="22"/>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684F51">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r>
      <w:tr w14:paraId="6390C41D">
        <w:tblPrEx>
          <w:tblCellMar>
            <w:top w:w="0" w:type="dxa"/>
            <w:left w:w="0" w:type="dxa"/>
            <w:bottom w:w="0" w:type="dxa"/>
            <w:right w:w="0" w:type="dxa"/>
          </w:tblCellMar>
        </w:tblPrEx>
        <w:trPr>
          <w:trHeight w:val="319" w:hRule="atLeast"/>
        </w:trPr>
        <w:tc>
          <w:tcPr>
            <w:tcW w:w="10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C613DA">
            <w:pPr>
              <w:jc w:val="center"/>
              <w:rPr>
                <w:rFonts w:hint="eastAsia" w:ascii="宋体" w:hAnsi="宋体" w:eastAsia="宋体" w:cs="宋体"/>
                <w:i w:val="0"/>
                <w:color w:val="000000"/>
                <w:sz w:val="22"/>
                <w:szCs w:val="22"/>
                <w:u w:val="none"/>
              </w:rPr>
            </w:pPr>
          </w:p>
        </w:tc>
        <w:tc>
          <w:tcPr>
            <w:tcW w:w="157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94933B">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其他资金</w:t>
            </w: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D949B6">
            <w:pPr>
              <w:jc w:val="center"/>
              <w:rPr>
                <w:rFonts w:hint="eastAsia" w:ascii="宋体" w:hAnsi="宋体" w:eastAsia="宋体" w:cs="宋体"/>
                <w:i w:val="0"/>
                <w:color w:val="000000"/>
                <w:sz w:val="22"/>
                <w:szCs w:val="22"/>
                <w:u w:val="none"/>
              </w:rPr>
            </w:pPr>
          </w:p>
        </w:tc>
        <w:tc>
          <w:tcPr>
            <w:tcW w:w="131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DA0EB8">
            <w:pPr>
              <w:jc w:val="center"/>
              <w:rPr>
                <w:rFonts w:hint="eastAsia" w:ascii="宋体" w:hAnsi="宋体" w:eastAsia="宋体" w:cs="宋体"/>
                <w:i w:val="0"/>
                <w:color w:val="000000"/>
                <w:sz w:val="22"/>
                <w:szCs w:val="22"/>
                <w:u w:val="none"/>
              </w:rPr>
            </w:pPr>
          </w:p>
        </w:tc>
        <w:tc>
          <w:tcPr>
            <w:tcW w:w="12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29A6D8">
            <w:pPr>
              <w:jc w:val="center"/>
              <w:rPr>
                <w:rFonts w:hint="eastAsia" w:ascii="宋体" w:hAnsi="宋体" w:eastAsia="宋体" w:cs="宋体"/>
                <w:i w:val="0"/>
                <w:color w:val="000000"/>
                <w:sz w:val="22"/>
                <w:szCs w:val="22"/>
                <w:u w:val="none"/>
              </w:rPr>
            </w:pPr>
          </w:p>
        </w:tc>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8CC83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8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B12CBD">
            <w:pPr>
              <w:jc w:val="center"/>
              <w:rPr>
                <w:rFonts w:hint="eastAsia" w:ascii="宋体" w:hAnsi="宋体" w:eastAsia="宋体" w:cs="宋体"/>
                <w:i w:val="0"/>
                <w:color w:val="000000"/>
                <w:sz w:val="22"/>
                <w:szCs w:val="22"/>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4D2BBF">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r>
      <w:tr w14:paraId="736B367B">
        <w:tblPrEx>
          <w:tblCellMar>
            <w:top w:w="0" w:type="dxa"/>
            <w:left w:w="0" w:type="dxa"/>
            <w:bottom w:w="0" w:type="dxa"/>
            <w:right w:w="0" w:type="dxa"/>
          </w:tblCellMar>
        </w:tblPrEx>
        <w:trPr>
          <w:trHeight w:val="319" w:hRule="atLeast"/>
        </w:trPr>
        <w:tc>
          <w:tcPr>
            <w:tcW w:w="55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B233B1">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年度总体目标</w:t>
            </w:r>
          </w:p>
        </w:tc>
        <w:tc>
          <w:tcPr>
            <w:tcW w:w="420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CF3441">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预期目标</w:t>
            </w:r>
          </w:p>
        </w:tc>
        <w:tc>
          <w:tcPr>
            <w:tcW w:w="3576"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44588B">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实际完成情况</w:t>
            </w:r>
          </w:p>
        </w:tc>
      </w:tr>
      <w:tr w14:paraId="40FDBF12">
        <w:tblPrEx>
          <w:tblCellMar>
            <w:top w:w="0" w:type="dxa"/>
            <w:left w:w="0" w:type="dxa"/>
            <w:bottom w:w="0" w:type="dxa"/>
            <w:right w:w="0" w:type="dxa"/>
          </w:tblCellMar>
        </w:tblPrEx>
        <w:trPr>
          <w:trHeight w:val="1365" w:hRule="atLeast"/>
        </w:trPr>
        <w:tc>
          <w:tcPr>
            <w:tcW w:w="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E1E130">
            <w:pPr>
              <w:jc w:val="center"/>
              <w:rPr>
                <w:rFonts w:hint="eastAsia" w:ascii="宋体" w:hAnsi="宋体" w:eastAsia="宋体" w:cs="宋体"/>
                <w:i w:val="0"/>
                <w:color w:val="000000"/>
                <w:sz w:val="22"/>
                <w:szCs w:val="22"/>
                <w:u w:val="none"/>
              </w:rPr>
            </w:pPr>
          </w:p>
        </w:tc>
        <w:tc>
          <w:tcPr>
            <w:tcW w:w="420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62FBA">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为申报国家级历史文化名城，在自治区级历史文化名城保护规划的框架体系的基础上，加强前期研究工作和操作层面上规划对策的制定。提出具体规划设计方案。</w:t>
            </w:r>
          </w:p>
        </w:tc>
        <w:tc>
          <w:tcPr>
            <w:tcW w:w="3576"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CA9E66">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目前吉木萨尔县历史文化名城保护规划设计方案已通过州规委会评审，准备提交自治区住建厅评审。</w:t>
            </w:r>
          </w:p>
        </w:tc>
      </w:tr>
      <w:tr w14:paraId="217A6AEA">
        <w:tblPrEx>
          <w:tblCellMar>
            <w:top w:w="0" w:type="dxa"/>
            <w:left w:w="0" w:type="dxa"/>
            <w:bottom w:w="0" w:type="dxa"/>
            <w:right w:w="0" w:type="dxa"/>
          </w:tblCellMar>
        </w:tblPrEx>
        <w:trPr>
          <w:trHeight w:val="319" w:hRule="atLeast"/>
        </w:trPr>
        <w:tc>
          <w:tcPr>
            <w:tcW w:w="557"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A6195C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绩              效    指    标</w:t>
            </w:r>
          </w:p>
        </w:tc>
        <w:tc>
          <w:tcPr>
            <w:tcW w:w="44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92A64E">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一级指标</w:t>
            </w:r>
          </w:p>
        </w:tc>
        <w:tc>
          <w:tcPr>
            <w:tcW w:w="78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C16574">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二级指标</w:t>
            </w:r>
          </w:p>
        </w:tc>
        <w:tc>
          <w:tcPr>
            <w:tcW w:w="193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9A378">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三级指标</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F57D7E">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年度</w:t>
            </w: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8767E">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实际</w:t>
            </w:r>
          </w:p>
        </w:tc>
        <w:tc>
          <w:tcPr>
            <w:tcW w:w="68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516C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分值</w:t>
            </w:r>
          </w:p>
        </w:tc>
        <w:tc>
          <w:tcPr>
            <w:tcW w:w="62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DA7108">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得分</w:t>
            </w:r>
          </w:p>
        </w:tc>
        <w:tc>
          <w:tcPr>
            <w:tcW w:w="133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2FB52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偏差原因分析及改进措施</w:t>
            </w:r>
          </w:p>
        </w:tc>
      </w:tr>
      <w:tr w14:paraId="35732FC8">
        <w:tblPrEx>
          <w:tblCellMar>
            <w:top w:w="0" w:type="dxa"/>
            <w:left w:w="0" w:type="dxa"/>
            <w:bottom w:w="0" w:type="dxa"/>
            <w:right w:w="0" w:type="dxa"/>
          </w:tblCellMar>
        </w:tblPrEx>
        <w:trPr>
          <w:trHeight w:val="319" w:hRule="atLeast"/>
        </w:trPr>
        <w:tc>
          <w:tcPr>
            <w:tcW w:w="55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C75B41E">
            <w:pPr>
              <w:jc w:val="center"/>
              <w:rPr>
                <w:rFonts w:hint="eastAsia" w:ascii="宋体" w:hAnsi="宋体" w:eastAsia="宋体" w:cs="宋体"/>
                <w:i w:val="0"/>
                <w:color w:val="000000"/>
                <w:sz w:val="22"/>
                <w:szCs w:val="22"/>
                <w:u w:val="none"/>
              </w:rPr>
            </w:pPr>
          </w:p>
        </w:tc>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D2D7B1">
            <w:pPr>
              <w:jc w:val="center"/>
              <w:rPr>
                <w:rFonts w:hint="eastAsia" w:ascii="宋体" w:hAnsi="宋体" w:eastAsia="宋体" w:cs="宋体"/>
                <w:i w:val="0"/>
                <w:color w:val="000000"/>
                <w:sz w:val="22"/>
                <w:szCs w:val="22"/>
                <w:u w:val="none"/>
              </w:rPr>
            </w:pPr>
          </w:p>
        </w:tc>
        <w:tc>
          <w:tcPr>
            <w:tcW w:w="7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5B33F7">
            <w:pPr>
              <w:jc w:val="center"/>
              <w:rPr>
                <w:rFonts w:hint="eastAsia" w:ascii="宋体" w:hAnsi="宋体" w:eastAsia="宋体" w:cs="宋体"/>
                <w:i w:val="0"/>
                <w:color w:val="000000"/>
                <w:sz w:val="22"/>
                <w:szCs w:val="22"/>
                <w:u w:val="none"/>
              </w:rPr>
            </w:pPr>
          </w:p>
        </w:tc>
        <w:tc>
          <w:tcPr>
            <w:tcW w:w="193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B49FE3">
            <w:pPr>
              <w:jc w:val="center"/>
              <w:rPr>
                <w:rFonts w:hint="eastAsia" w:ascii="宋体" w:hAnsi="宋体" w:eastAsia="宋体" w:cs="宋体"/>
                <w:i w:val="0"/>
                <w:color w:val="000000"/>
                <w:sz w:val="22"/>
                <w:szCs w:val="22"/>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587A33">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指标值</w:t>
            </w: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153FB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完成值</w:t>
            </w:r>
          </w:p>
        </w:tc>
        <w:tc>
          <w:tcPr>
            <w:tcW w:w="68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2C1AB6">
            <w:pPr>
              <w:jc w:val="center"/>
              <w:rPr>
                <w:rFonts w:hint="eastAsia" w:ascii="宋体" w:hAnsi="宋体" w:eastAsia="宋体" w:cs="宋体"/>
                <w:i w:val="0"/>
                <w:color w:val="000000"/>
                <w:sz w:val="22"/>
                <w:szCs w:val="22"/>
                <w:u w:val="none"/>
              </w:rPr>
            </w:pPr>
          </w:p>
        </w:tc>
        <w:tc>
          <w:tcPr>
            <w:tcW w:w="62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F69EB5">
            <w:pPr>
              <w:jc w:val="center"/>
              <w:rPr>
                <w:rFonts w:hint="eastAsia" w:ascii="宋体" w:hAnsi="宋体" w:eastAsia="宋体" w:cs="宋体"/>
                <w:i w:val="0"/>
                <w:color w:val="000000"/>
                <w:sz w:val="22"/>
                <w:szCs w:val="22"/>
                <w:u w:val="none"/>
              </w:rPr>
            </w:pPr>
          </w:p>
        </w:tc>
        <w:tc>
          <w:tcPr>
            <w:tcW w:w="13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492B8A">
            <w:pPr>
              <w:jc w:val="center"/>
              <w:rPr>
                <w:rFonts w:hint="eastAsia" w:ascii="宋体" w:hAnsi="宋体" w:eastAsia="宋体" w:cs="宋体"/>
                <w:i w:val="0"/>
                <w:color w:val="000000"/>
                <w:sz w:val="22"/>
                <w:szCs w:val="22"/>
                <w:u w:val="none"/>
              </w:rPr>
            </w:pPr>
          </w:p>
        </w:tc>
      </w:tr>
      <w:tr w14:paraId="70D48443">
        <w:tblPrEx>
          <w:tblCellMar>
            <w:top w:w="0" w:type="dxa"/>
            <w:left w:w="0" w:type="dxa"/>
            <w:bottom w:w="0" w:type="dxa"/>
            <w:right w:w="0" w:type="dxa"/>
          </w:tblCellMar>
        </w:tblPrEx>
        <w:trPr>
          <w:trHeight w:val="660" w:hRule="atLeast"/>
        </w:trPr>
        <w:tc>
          <w:tcPr>
            <w:tcW w:w="55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2652270">
            <w:pPr>
              <w:jc w:val="center"/>
              <w:rPr>
                <w:rFonts w:hint="eastAsia" w:ascii="宋体" w:hAnsi="宋体" w:eastAsia="宋体" w:cs="宋体"/>
                <w:i w:val="0"/>
                <w:color w:val="000000"/>
                <w:sz w:val="22"/>
                <w:szCs w:val="22"/>
                <w:u w:val="none"/>
              </w:rPr>
            </w:pPr>
          </w:p>
        </w:tc>
        <w:tc>
          <w:tcPr>
            <w:tcW w:w="44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A3AC8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产出指标</w:t>
            </w:r>
          </w:p>
        </w:tc>
        <w:tc>
          <w:tcPr>
            <w:tcW w:w="78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779C3A">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数量指标</w:t>
            </w:r>
          </w:p>
        </w:tc>
        <w:tc>
          <w:tcPr>
            <w:tcW w:w="193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076A71">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规划范围</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53656D">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8145平方公里</w:t>
            </w: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5B114">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8145平方公里</w:t>
            </w:r>
          </w:p>
        </w:tc>
        <w:tc>
          <w:tcPr>
            <w:tcW w:w="6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C6EC2D">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6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A7CE2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3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F317ED">
            <w:pPr>
              <w:jc w:val="center"/>
              <w:rPr>
                <w:rFonts w:hint="eastAsia" w:ascii="宋体" w:hAnsi="宋体" w:eastAsia="宋体" w:cs="宋体"/>
                <w:i w:val="0"/>
                <w:color w:val="000000"/>
                <w:sz w:val="22"/>
                <w:szCs w:val="22"/>
                <w:u w:val="none"/>
              </w:rPr>
            </w:pPr>
          </w:p>
        </w:tc>
      </w:tr>
      <w:tr w14:paraId="7BE53D8E">
        <w:tblPrEx>
          <w:tblCellMar>
            <w:top w:w="0" w:type="dxa"/>
            <w:left w:w="0" w:type="dxa"/>
            <w:bottom w:w="0" w:type="dxa"/>
            <w:right w:w="0" w:type="dxa"/>
          </w:tblCellMar>
        </w:tblPrEx>
        <w:trPr>
          <w:trHeight w:val="1020" w:hRule="atLeast"/>
        </w:trPr>
        <w:tc>
          <w:tcPr>
            <w:tcW w:w="55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8645D58">
            <w:pPr>
              <w:jc w:val="center"/>
              <w:rPr>
                <w:rFonts w:hint="eastAsia" w:ascii="宋体" w:hAnsi="宋体" w:eastAsia="宋体" w:cs="宋体"/>
                <w:i w:val="0"/>
                <w:color w:val="000000"/>
                <w:sz w:val="22"/>
                <w:szCs w:val="22"/>
                <w:u w:val="none"/>
              </w:rPr>
            </w:pPr>
          </w:p>
        </w:tc>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7614A3">
            <w:pPr>
              <w:jc w:val="center"/>
              <w:rPr>
                <w:rFonts w:hint="eastAsia" w:ascii="宋体" w:hAnsi="宋体" w:eastAsia="宋体" w:cs="宋体"/>
                <w:i w:val="0"/>
                <w:color w:val="000000"/>
                <w:sz w:val="22"/>
                <w:szCs w:val="22"/>
                <w:u w:val="none"/>
              </w:rPr>
            </w:pPr>
          </w:p>
        </w:tc>
        <w:tc>
          <w:tcPr>
            <w:tcW w:w="7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ADAA07">
            <w:pPr>
              <w:jc w:val="center"/>
              <w:rPr>
                <w:rFonts w:hint="eastAsia" w:ascii="宋体" w:hAnsi="宋体" w:eastAsia="宋体" w:cs="宋体"/>
                <w:i w:val="0"/>
                <w:color w:val="000000"/>
                <w:sz w:val="22"/>
                <w:szCs w:val="22"/>
                <w:u w:val="none"/>
              </w:rPr>
            </w:pPr>
          </w:p>
        </w:tc>
        <w:tc>
          <w:tcPr>
            <w:tcW w:w="193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A9BA26">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规划年限</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14E3AA">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近期至2020年，远期至2030年</w:t>
            </w: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02FEBD">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近期至2020年，远期至2030年</w:t>
            </w:r>
          </w:p>
        </w:tc>
        <w:tc>
          <w:tcPr>
            <w:tcW w:w="6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EF8AC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6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3836F6">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3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7BD2E6">
            <w:pPr>
              <w:jc w:val="center"/>
              <w:rPr>
                <w:rFonts w:hint="eastAsia" w:ascii="宋体" w:hAnsi="宋体" w:eastAsia="宋体" w:cs="宋体"/>
                <w:i w:val="0"/>
                <w:color w:val="000000"/>
                <w:sz w:val="22"/>
                <w:szCs w:val="22"/>
                <w:u w:val="none"/>
              </w:rPr>
            </w:pPr>
          </w:p>
        </w:tc>
      </w:tr>
      <w:tr w14:paraId="59AD54D1">
        <w:tblPrEx>
          <w:tblCellMar>
            <w:top w:w="0" w:type="dxa"/>
            <w:left w:w="0" w:type="dxa"/>
            <w:bottom w:w="0" w:type="dxa"/>
            <w:right w:w="0" w:type="dxa"/>
          </w:tblCellMar>
        </w:tblPrEx>
        <w:trPr>
          <w:trHeight w:val="420" w:hRule="atLeast"/>
        </w:trPr>
        <w:tc>
          <w:tcPr>
            <w:tcW w:w="55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2AC2F22">
            <w:pPr>
              <w:jc w:val="center"/>
              <w:rPr>
                <w:rFonts w:hint="eastAsia" w:ascii="宋体" w:hAnsi="宋体" w:eastAsia="宋体" w:cs="宋体"/>
                <w:i w:val="0"/>
                <w:color w:val="000000"/>
                <w:sz w:val="22"/>
                <w:szCs w:val="22"/>
                <w:u w:val="none"/>
              </w:rPr>
            </w:pPr>
          </w:p>
        </w:tc>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D516D6">
            <w:pPr>
              <w:jc w:val="center"/>
              <w:rPr>
                <w:rFonts w:hint="eastAsia" w:ascii="宋体" w:hAnsi="宋体" w:eastAsia="宋体" w:cs="宋体"/>
                <w:i w:val="0"/>
                <w:color w:val="000000"/>
                <w:sz w:val="22"/>
                <w:szCs w:val="22"/>
                <w:u w:val="none"/>
              </w:rPr>
            </w:pPr>
          </w:p>
        </w:tc>
        <w:tc>
          <w:tcPr>
            <w:tcW w:w="7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09F56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质量指标</w:t>
            </w:r>
          </w:p>
        </w:tc>
        <w:tc>
          <w:tcPr>
            <w:tcW w:w="193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DA38B5">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设计方案检验合格率</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BACF8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063724">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6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0F117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6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E54D6E">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3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41FA49">
            <w:pPr>
              <w:jc w:val="center"/>
              <w:rPr>
                <w:rFonts w:hint="eastAsia" w:ascii="宋体" w:hAnsi="宋体" w:eastAsia="宋体" w:cs="宋体"/>
                <w:i w:val="0"/>
                <w:color w:val="000000"/>
                <w:sz w:val="22"/>
                <w:szCs w:val="22"/>
                <w:u w:val="none"/>
              </w:rPr>
            </w:pPr>
          </w:p>
        </w:tc>
      </w:tr>
      <w:tr w14:paraId="74FF400C">
        <w:tblPrEx>
          <w:tblCellMar>
            <w:top w:w="0" w:type="dxa"/>
            <w:left w:w="0" w:type="dxa"/>
            <w:bottom w:w="0" w:type="dxa"/>
            <w:right w:w="0" w:type="dxa"/>
          </w:tblCellMar>
        </w:tblPrEx>
        <w:trPr>
          <w:trHeight w:val="380" w:hRule="atLeast"/>
        </w:trPr>
        <w:tc>
          <w:tcPr>
            <w:tcW w:w="55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47D6646">
            <w:pPr>
              <w:jc w:val="center"/>
              <w:rPr>
                <w:rFonts w:hint="eastAsia" w:ascii="宋体" w:hAnsi="宋体" w:eastAsia="宋体" w:cs="宋体"/>
                <w:i w:val="0"/>
                <w:color w:val="000000"/>
                <w:sz w:val="22"/>
                <w:szCs w:val="22"/>
                <w:u w:val="none"/>
              </w:rPr>
            </w:pPr>
          </w:p>
        </w:tc>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D81621">
            <w:pPr>
              <w:jc w:val="center"/>
              <w:rPr>
                <w:rFonts w:hint="eastAsia" w:ascii="宋体" w:hAnsi="宋体" w:eastAsia="宋体" w:cs="宋体"/>
                <w:i w:val="0"/>
                <w:color w:val="000000"/>
                <w:sz w:val="22"/>
                <w:szCs w:val="22"/>
                <w:u w:val="none"/>
              </w:rPr>
            </w:pPr>
          </w:p>
        </w:tc>
        <w:tc>
          <w:tcPr>
            <w:tcW w:w="78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42A72D">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时效指标</w:t>
            </w:r>
          </w:p>
        </w:tc>
        <w:tc>
          <w:tcPr>
            <w:tcW w:w="193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379AF1">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设计方案提交及时率</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41C6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5B1326">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6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6DA62A">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6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6C3C98">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3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046106">
            <w:pPr>
              <w:jc w:val="center"/>
              <w:rPr>
                <w:rFonts w:hint="eastAsia" w:ascii="宋体" w:hAnsi="宋体" w:eastAsia="宋体" w:cs="宋体"/>
                <w:i w:val="0"/>
                <w:color w:val="000000"/>
                <w:sz w:val="22"/>
                <w:szCs w:val="22"/>
                <w:u w:val="none"/>
              </w:rPr>
            </w:pPr>
          </w:p>
        </w:tc>
      </w:tr>
      <w:tr w14:paraId="0B21A939">
        <w:tblPrEx>
          <w:tblCellMar>
            <w:top w:w="0" w:type="dxa"/>
            <w:left w:w="0" w:type="dxa"/>
            <w:bottom w:w="0" w:type="dxa"/>
            <w:right w:w="0" w:type="dxa"/>
          </w:tblCellMar>
        </w:tblPrEx>
        <w:trPr>
          <w:trHeight w:val="480" w:hRule="atLeast"/>
        </w:trPr>
        <w:tc>
          <w:tcPr>
            <w:tcW w:w="55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B905F34">
            <w:pPr>
              <w:jc w:val="center"/>
              <w:rPr>
                <w:rFonts w:hint="eastAsia" w:ascii="宋体" w:hAnsi="宋体" w:eastAsia="宋体" w:cs="宋体"/>
                <w:i w:val="0"/>
                <w:color w:val="000000"/>
                <w:sz w:val="22"/>
                <w:szCs w:val="22"/>
                <w:u w:val="none"/>
              </w:rPr>
            </w:pPr>
          </w:p>
        </w:tc>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8FE5C0">
            <w:pPr>
              <w:jc w:val="center"/>
              <w:rPr>
                <w:rFonts w:hint="eastAsia" w:ascii="宋体" w:hAnsi="宋体" w:eastAsia="宋体" w:cs="宋体"/>
                <w:i w:val="0"/>
                <w:color w:val="000000"/>
                <w:sz w:val="22"/>
                <w:szCs w:val="22"/>
                <w:u w:val="none"/>
              </w:rPr>
            </w:pPr>
          </w:p>
        </w:tc>
        <w:tc>
          <w:tcPr>
            <w:tcW w:w="7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EF652">
            <w:pPr>
              <w:jc w:val="center"/>
              <w:rPr>
                <w:rFonts w:hint="eastAsia" w:ascii="宋体" w:hAnsi="宋体" w:eastAsia="宋体" w:cs="宋体"/>
                <w:i w:val="0"/>
                <w:color w:val="000000"/>
                <w:sz w:val="22"/>
                <w:szCs w:val="22"/>
                <w:u w:val="none"/>
              </w:rPr>
            </w:pPr>
          </w:p>
        </w:tc>
        <w:tc>
          <w:tcPr>
            <w:tcW w:w="193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55DE63">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资金及时支付率</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136F4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DB20AD">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6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1729C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6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CDADF8">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3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D4C4E6">
            <w:pPr>
              <w:jc w:val="center"/>
              <w:rPr>
                <w:rFonts w:hint="eastAsia" w:ascii="宋体" w:hAnsi="宋体" w:eastAsia="宋体" w:cs="宋体"/>
                <w:i w:val="0"/>
                <w:color w:val="000000"/>
                <w:sz w:val="22"/>
                <w:szCs w:val="22"/>
                <w:u w:val="none"/>
              </w:rPr>
            </w:pPr>
          </w:p>
        </w:tc>
      </w:tr>
      <w:tr w14:paraId="67C918B0">
        <w:tblPrEx>
          <w:tblCellMar>
            <w:top w:w="0" w:type="dxa"/>
            <w:left w:w="0" w:type="dxa"/>
            <w:bottom w:w="0" w:type="dxa"/>
            <w:right w:w="0" w:type="dxa"/>
          </w:tblCellMar>
        </w:tblPrEx>
        <w:trPr>
          <w:trHeight w:val="520" w:hRule="atLeast"/>
        </w:trPr>
        <w:tc>
          <w:tcPr>
            <w:tcW w:w="55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76F76B5">
            <w:pPr>
              <w:jc w:val="center"/>
              <w:rPr>
                <w:rFonts w:hint="eastAsia" w:ascii="宋体" w:hAnsi="宋体" w:eastAsia="宋体" w:cs="宋体"/>
                <w:i w:val="0"/>
                <w:color w:val="000000"/>
                <w:sz w:val="22"/>
                <w:szCs w:val="22"/>
                <w:u w:val="none"/>
              </w:rPr>
            </w:pPr>
          </w:p>
        </w:tc>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44FCBA">
            <w:pPr>
              <w:jc w:val="center"/>
              <w:rPr>
                <w:rFonts w:hint="eastAsia" w:ascii="宋体" w:hAnsi="宋体" w:eastAsia="宋体" w:cs="宋体"/>
                <w:i w:val="0"/>
                <w:color w:val="000000"/>
                <w:sz w:val="22"/>
                <w:szCs w:val="22"/>
                <w:u w:val="none"/>
              </w:rPr>
            </w:pPr>
          </w:p>
        </w:tc>
        <w:tc>
          <w:tcPr>
            <w:tcW w:w="7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DF99DA">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成本指标</w:t>
            </w:r>
          </w:p>
        </w:tc>
        <w:tc>
          <w:tcPr>
            <w:tcW w:w="193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3C2522">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规划设计方案费总金额</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F6C483">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5万元</w:t>
            </w: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CC01E2">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5万元</w:t>
            </w:r>
          </w:p>
        </w:tc>
        <w:tc>
          <w:tcPr>
            <w:tcW w:w="6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23E8F2">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6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79646">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3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3406AF">
            <w:pPr>
              <w:jc w:val="center"/>
              <w:rPr>
                <w:rFonts w:hint="eastAsia" w:ascii="宋体" w:hAnsi="宋体" w:eastAsia="宋体" w:cs="宋体"/>
                <w:i w:val="0"/>
                <w:color w:val="000000"/>
                <w:sz w:val="22"/>
                <w:szCs w:val="22"/>
                <w:u w:val="none"/>
              </w:rPr>
            </w:pPr>
          </w:p>
        </w:tc>
      </w:tr>
      <w:tr w14:paraId="45DABE0A">
        <w:tblPrEx>
          <w:tblCellMar>
            <w:top w:w="0" w:type="dxa"/>
            <w:left w:w="0" w:type="dxa"/>
            <w:bottom w:w="0" w:type="dxa"/>
            <w:right w:w="0" w:type="dxa"/>
          </w:tblCellMar>
        </w:tblPrEx>
        <w:trPr>
          <w:trHeight w:val="560" w:hRule="atLeast"/>
        </w:trPr>
        <w:tc>
          <w:tcPr>
            <w:tcW w:w="55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02D7691">
            <w:pPr>
              <w:jc w:val="center"/>
              <w:rPr>
                <w:rFonts w:hint="eastAsia" w:ascii="宋体" w:hAnsi="宋体" w:eastAsia="宋体" w:cs="宋体"/>
                <w:i w:val="0"/>
                <w:color w:val="000000"/>
                <w:sz w:val="22"/>
                <w:szCs w:val="22"/>
                <w:u w:val="none"/>
              </w:rPr>
            </w:pPr>
          </w:p>
        </w:tc>
        <w:tc>
          <w:tcPr>
            <w:tcW w:w="44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7BE46F">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效益指标</w:t>
            </w:r>
          </w:p>
        </w:tc>
        <w:tc>
          <w:tcPr>
            <w:tcW w:w="78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5D46E0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经济效益指标</w:t>
            </w:r>
          </w:p>
        </w:tc>
        <w:tc>
          <w:tcPr>
            <w:tcW w:w="193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7A09B2">
            <w:pPr>
              <w:jc w:val="left"/>
              <w:rPr>
                <w:rFonts w:hint="eastAsia" w:ascii="宋体" w:hAnsi="宋体" w:eastAsia="宋体" w:cs="宋体"/>
                <w:i w:val="0"/>
                <w:color w:val="000000"/>
                <w:sz w:val="22"/>
                <w:szCs w:val="22"/>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5343E8">
            <w:pPr>
              <w:jc w:val="center"/>
              <w:rPr>
                <w:rFonts w:hint="eastAsia" w:ascii="宋体" w:hAnsi="宋体" w:eastAsia="宋体" w:cs="宋体"/>
                <w:i w:val="0"/>
                <w:color w:val="000000"/>
                <w:sz w:val="22"/>
                <w:szCs w:val="22"/>
                <w:u w:val="none"/>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76BE8E">
            <w:pPr>
              <w:jc w:val="center"/>
              <w:rPr>
                <w:rFonts w:hint="eastAsia" w:ascii="宋体" w:hAnsi="宋体" w:eastAsia="宋体" w:cs="宋体"/>
                <w:i w:val="0"/>
                <w:color w:val="000000"/>
                <w:sz w:val="22"/>
                <w:szCs w:val="22"/>
                <w:u w:val="none"/>
              </w:rPr>
            </w:pPr>
          </w:p>
        </w:tc>
        <w:tc>
          <w:tcPr>
            <w:tcW w:w="6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3314A9">
            <w:pPr>
              <w:jc w:val="center"/>
              <w:rPr>
                <w:rFonts w:hint="eastAsia" w:ascii="宋体" w:hAnsi="宋体" w:eastAsia="宋体" w:cs="宋体"/>
                <w:i w:val="0"/>
                <w:color w:val="000000"/>
                <w:sz w:val="22"/>
                <w:szCs w:val="22"/>
                <w:u w:val="none"/>
              </w:rPr>
            </w:pPr>
          </w:p>
        </w:tc>
        <w:tc>
          <w:tcPr>
            <w:tcW w:w="6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E810EA">
            <w:pPr>
              <w:jc w:val="center"/>
              <w:rPr>
                <w:rFonts w:hint="eastAsia" w:ascii="宋体" w:hAnsi="宋体" w:eastAsia="宋体" w:cs="宋体"/>
                <w:i w:val="0"/>
                <w:color w:val="000000"/>
                <w:sz w:val="22"/>
                <w:szCs w:val="22"/>
                <w:u w:val="none"/>
              </w:rPr>
            </w:pPr>
          </w:p>
        </w:tc>
        <w:tc>
          <w:tcPr>
            <w:tcW w:w="13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223605">
            <w:pPr>
              <w:jc w:val="center"/>
              <w:rPr>
                <w:rFonts w:hint="eastAsia" w:ascii="宋体" w:hAnsi="宋体" w:eastAsia="宋体" w:cs="宋体"/>
                <w:i w:val="0"/>
                <w:color w:val="000000"/>
                <w:sz w:val="22"/>
                <w:szCs w:val="22"/>
                <w:u w:val="none"/>
              </w:rPr>
            </w:pPr>
          </w:p>
        </w:tc>
      </w:tr>
      <w:tr w14:paraId="78969EC1">
        <w:tblPrEx>
          <w:tblCellMar>
            <w:top w:w="0" w:type="dxa"/>
            <w:left w:w="0" w:type="dxa"/>
            <w:bottom w:w="0" w:type="dxa"/>
            <w:right w:w="0" w:type="dxa"/>
          </w:tblCellMar>
        </w:tblPrEx>
        <w:trPr>
          <w:trHeight w:val="720" w:hRule="atLeast"/>
        </w:trPr>
        <w:tc>
          <w:tcPr>
            <w:tcW w:w="55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7DDD8F1">
            <w:pPr>
              <w:jc w:val="center"/>
              <w:rPr>
                <w:rFonts w:hint="eastAsia" w:ascii="宋体" w:hAnsi="宋体" w:eastAsia="宋体" w:cs="宋体"/>
                <w:i w:val="0"/>
                <w:color w:val="000000"/>
                <w:sz w:val="22"/>
                <w:szCs w:val="22"/>
                <w:u w:val="none"/>
              </w:rPr>
            </w:pPr>
          </w:p>
        </w:tc>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C68D6D">
            <w:pPr>
              <w:jc w:val="center"/>
              <w:rPr>
                <w:rFonts w:hint="eastAsia" w:ascii="宋体" w:hAnsi="宋体" w:eastAsia="宋体" w:cs="宋体"/>
                <w:i w:val="0"/>
                <w:color w:val="000000"/>
                <w:sz w:val="22"/>
                <w:szCs w:val="22"/>
                <w:u w:val="none"/>
              </w:rPr>
            </w:pPr>
          </w:p>
        </w:tc>
        <w:tc>
          <w:tcPr>
            <w:tcW w:w="784"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7ADACC8">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社会效益指标</w:t>
            </w:r>
          </w:p>
        </w:tc>
        <w:tc>
          <w:tcPr>
            <w:tcW w:w="193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1F3A23">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增强保护历史文化名城意识</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F70E1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w:t>
            </w: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BBAA9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w:t>
            </w:r>
          </w:p>
        </w:tc>
        <w:tc>
          <w:tcPr>
            <w:tcW w:w="6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FBD27E">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6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A999FD">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3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1FEF62">
            <w:pPr>
              <w:jc w:val="center"/>
              <w:rPr>
                <w:rFonts w:hint="eastAsia" w:ascii="宋体" w:hAnsi="宋体" w:eastAsia="宋体" w:cs="宋体"/>
                <w:i w:val="0"/>
                <w:color w:val="000000"/>
                <w:sz w:val="22"/>
                <w:szCs w:val="22"/>
                <w:u w:val="none"/>
              </w:rPr>
            </w:pPr>
          </w:p>
        </w:tc>
      </w:tr>
      <w:tr w14:paraId="6E4DE62F">
        <w:tblPrEx>
          <w:tblCellMar>
            <w:top w:w="0" w:type="dxa"/>
            <w:left w:w="0" w:type="dxa"/>
            <w:bottom w:w="0" w:type="dxa"/>
            <w:right w:w="0" w:type="dxa"/>
          </w:tblCellMar>
        </w:tblPrEx>
        <w:trPr>
          <w:trHeight w:val="319" w:hRule="atLeast"/>
        </w:trPr>
        <w:tc>
          <w:tcPr>
            <w:tcW w:w="55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A533D30">
            <w:pPr>
              <w:jc w:val="center"/>
              <w:rPr>
                <w:rFonts w:hint="eastAsia" w:ascii="宋体" w:hAnsi="宋体" w:eastAsia="宋体" w:cs="宋体"/>
                <w:i w:val="0"/>
                <w:color w:val="000000"/>
                <w:sz w:val="22"/>
                <w:szCs w:val="22"/>
                <w:u w:val="none"/>
              </w:rPr>
            </w:pPr>
          </w:p>
        </w:tc>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A5A80B">
            <w:pPr>
              <w:jc w:val="center"/>
              <w:rPr>
                <w:rFonts w:hint="eastAsia" w:ascii="宋体" w:hAnsi="宋体" w:eastAsia="宋体" w:cs="宋体"/>
                <w:i w:val="0"/>
                <w:color w:val="000000"/>
                <w:sz w:val="22"/>
                <w:szCs w:val="22"/>
                <w:u w:val="none"/>
              </w:rPr>
            </w:pPr>
          </w:p>
        </w:tc>
        <w:tc>
          <w:tcPr>
            <w:tcW w:w="78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E9EA239">
            <w:pPr>
              <w:jc w:val="center"/>
              <w:rPr>
                <w:rFonts w:hint="eastAsia" w:ascii="宋体" w:hAnsi="宋体" w:eastAsia="宋体" w:cs="宋体"/>
                <w:i w:val="0"/>
                <w:color w:val="000000"/>
                <w:sz w:val="22"/>
                <w:szCs w:val="22"/>
                <w:u w:val="none"/>
              </w:rPr>
            </w:pPr>
          </w:p>
        </w:tc>
        <w:tc>
          <w:tcPr>
            <w:tcW w:w="193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B66F50">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打造历史文化名城</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6E9C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w:t>
            </w: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856B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w:t>
            </w:r>
          </w:p>
        </w:tc>
        <w:tc>
          <w:tcPr>
            <w:tcW w:w="6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85866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6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2FE686">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3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D6FCBF">
            <w:pPr>
              <w:jc w:val="center"/>
              <w:rPr>
                <w:rFonts w:hint="eastAsia" w:ascii="宋体" w:hAnsi="宋体" w:eastAsia="宋体" w:cs="宋体"/>
                <w:i w:val="0"/>
                <w:color w:val="000000"/>
                <w:sz w:val="22"/>
                <w:szCs w:val="22"/>
                <w:u w:val="none"/>
              </w:rPr>
            </w:pPr>
          </w:p>
        </w:tc>
      </w:tr>
      <w:tr w14:paraId="04CF96E2">
        <w:tblPrEx>
          <w:tblCellMar>
            <w:top w:w="0" w:type="dxa"/>
            <w:left w:w="0" w:type="dxa"/>
            <w:bottom w:w="0" w:type="dxa"/>
            <w:right w:w="0" w:type="dxa"/>
          </w:tblCellMar>
        </w:tblPrEx>
        <w:trPr>
          <w:trHeight w:val="580" w:hRule="atLeast"/>
        </w:trPr>
        <w:tc>
          <w:tcPr>
            <w:tcW w:w="55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83046DC">
            <w:pPr>
              <w:jc w:val="center"/>
              <w:rPr>
                <w:rFonts w:hint="eastAsia" w:ascii="宋体" w:hAnsi="宋体" w:eastAsia="宋体" w:cs="宋体"/>
                <w:i w:val="0"/>
                <w:color w:val="000000"/>
                <w:sz w:val="22"/>
                <w:szCs w:val="22"/>
                <w:u w:val="none"/>
              </w:rPr>
            </w:pPr>
          </w:p>
        </w:tc>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C9D1A4">
            <w:pPr>
              <w:jc w:val="center"/>
              <w:rPr>
                <w:rFonts w:hint="eastAsia" w:ascii="宋体" w:hAnsi="宋体" w:eastAsia="宋体" w:cs="宋体"/>
                <w:i w:val="0"/>
                <w:color w:val="000000"/>
                <w:sz w:val="22"/>
                <w:szCs w:val="22"/>
                <w:u w:val="none"/>
              </w:rPr>
            </w:pPr>
          </w:p>
        </w:tc>
        <w:tc>
          <w:tcPr>
            <w:tcW w:w="78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D036218">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生态效益指标</w:t>
            </w:r>
          </w:p>
        </w:tc>
        <w:tc>
          <w:tcPr>
            <w:tcW w:w="193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105438">
            <w:pPr>
              <w:jc w:val="left"/>
              <w:rPr>
                <w:rFonts w:hint="eastAsia" w:ascii="宋体" w:hAnsi="宋体" w:eastAsia="宋体" w:cs="宋体"/>
                <w:i w:val="0"/>
                <w:color w:val="000000"/>
                <w:sz w:val="22"/>
                <w:szCs w:val="22"/>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62149B">
            <w:pPr>
              <w:jc w:val="center"/>
              <w:rPr>
                <w:rFonts w:hint="eastAsia" w:ascii="宋体" w:hAnsi="宋体" w:eastAsia="宋体" w:cs="宋体"/>
                <w:i w:val="0"/>
                <w:color w:val="000000"/>
                <w:sz w:val="22"/>
                <w:szCs w:val="22"/>
                <w:u w:val="none"/>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305D79">
            <w:pPr>
              <w:jc w:val="center"/>
              <w:rPr>
                <w:rFonts w:hint="eastAsia" w:ascii="宋体" w:hAnsi="宋体" w:eastAsia="宋体" w:cs="宋体"/>
                <w:i w:val="0"/>
                <w:color w:val="000000"/>
                <w:sz w:val="22"/>
                <w:szCs w:val="22"/>
                <w:u w:val="none"/>
              </w:rPr>
            </w:pPr>
          </w:p>
        </w:tc>
        <w:tc>
          <w:tcPr>
            <w:tcW w:w="6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D1CCC">
            <w:pPr>
              <w:jc w:val="center"/>
              <w:rPr>
                <w:rFonts w:hint="eastAsia" w:ascii="宋体" w:hAnsi="宋体" w:eastAsia="宋体" w:cs="宋体"/>
                <w:i w:val="0"/>
                <w:color w:val="000000"/>
                <w:sz w:val="22"/>
                <w:szCs w:val="22"/>
                <w:u w:val="none"/>
              </w:rPr>
            </w:pPr>
          </w:p>
        </w:tc>
        <w:tc>
          <w:tcPr>
            <w:tcW w:w="6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8E8C7D">
            <w:pPr>
              <w:jc w:val="center"/>
              <w:rPr>
                <w:rFonts w:hint="eastAsia" w:ascii="宋体" w:hAnsi="宋体" w:eastAsia="宋体" w:cs="宋体"/>
                <w:i w:val="0"/>
                <w:color w:val="000000"/>
                <w:sz w:val="22"/>
                <w:szCs w:val="22"/>
                <w:u w:val="none"/>
              </w:rPr>
            </w:pPr>
          </w:p>
        </w:tc>
        <w:tc>
          <w:tcPr>
            <w:tcW w:w="13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1D215D">
            <w:pPr>
              <w:jc w:val="center"/>
              <w:rPr>
                <w:rFonts w:hint="eastAsia" w:ascii="宋体" w:hAnsi="宋体" w:eastAsia="宋体" w:cs="宋体"/>
                <w:i w:val="0"/>
                <w:color w:val="000000"/>
                <w:sz w:val="22"/>
                <w:szCs w:val="22"/>
                <w:u w:val="none"/>
              </w:rPr>
            </w:pPr>
          </w:p>
        </w:tc>
      </w:tr>
      <w:tr w14:paraId="78AE4332">
        <w:tblPrEx>
          <w:tblCellMar>
            <w:top w:w="0" w:type="dxa"/>
            <w:left w:w="0" w:type="dxa"/>
            <w:bottom w:w="0" w:type="dxa"/>
            <w:right w:w="0" w:type="dxa"/>
          </w:tblCellMar>
        </w:tblPrEx>
        <w:trPr>
          <w:trHeight w:val="319" w:hRule="atLeast"/>
        </w:trPr>
        <w:tc>
          <w:tcPr>
            <w:tcW w:w="55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2B9A198">
            <w:pPr>
              <w:jc w:val="center"/>
              <w:rPr>
                <w:rFonts w:hint="eastAsia" w:ascii="宋体" w:hAnsi="宋体" w:eastAsia="宋体" w:cs="宋体"/>
                <w:i w:val="0"/>
                <w:color w:val="000000"/>
                <w:sz w:val="22"/>
                <w:szCs w:val="22"/>
                <w:u w:val="none"/>
              </w:rPr>
            </w:pPr>
          </w:p>
        </w:tc>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3F14E7">
            <w:pPr>
              <w:jc w:val="center"/>
              <w:rPr>
                <w:rFonts w:hint="eastAsia" w:ascii="宋体" w:hAnsi="宋体" w:eastAsia="宋体" w:cs="宋体"/>
                <w:i w:val="0"/>
                <w:color w:val="000000"/>
                <w:sz w:val="22"/>
                <w:szCs w:val="22"/>
                <w:u w:val="none"/>
              </w:rPr>
            </w:pPr>
          </w:p>
        </w:tc>
        <w:tc>
          <w:tcPr>
            <w:tcW w:w="78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D515F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可持续影响指标</w:t>
            </w:r>
          </w:p>
        </w:tc>
        <w:tc>
          <w:tcPr>
            <w:tcW w:w="193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D08AC6">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可持续影响期限</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52DF3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长期</w:t>
            </w: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A9815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长期</w:t>
            </w:r>
          </w:p>
        </w:tc>
        <w:tc>
          <w:tcPr>
            <w:tcW w:w="6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DBEF33">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6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1EE564">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3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4D3F89">
            <w:pPr>
              <w:jc w:val="center"/>
              <w:rPr>
                <w:rFonts w:hint="eastAsia" w:ascii="宋体" w:hAnsi="宋体" w:eastAsia="宋体" w:cs="宋体"/>
                <w:i w:val="0"/>
                <w:color w:val="000000"/>
                <w:sz w:val="22"/>
                <w:szCs w:val="22"/>
                <w:u w:val="none"/>
              </w:rPr>
            </w:pPr>
          </w:p>
        </w:tc>
      </w:tr>
      <w:tr w14:paraId="69791885">
        <w:tblPrEx>
          <w:tblCellMar>
            <w:top w:w="0" w:type="dxa"/>
            <w:left w:w="0" w:type="dxa"/>
            <w:bottom w:w="0" w:type="dxa"/>
            <w:right w:w="0" w:type="dxa"/>
          </w:tblCellMar>
        </w:tblPrEx>
        <w:trPr>
          <w:trHeight w:val="319" w:hRule="atLeast"/>
        </w:trPr>
        <w:tc>
          <w:tcPr>
            <w:tcW w:w="55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B02D36C">
            <w:pPr>
              <w:jc w:val="center"/>
              <w:rPr>
                <w:rFonts w:hint="eastAsia" w:ascii="宋体" w:hAnsi="宋体" w:eastAsia="宋体" w:cs="宋体"/>
                <w:i w:val="0"/>
                <w:color w:val="000000"/>
                <w:sz w:val="22"/>
                <w:szCs w:val="22"/>
                <w:u w:val="none"/>
              </w:rPr>
            </w:pPr>
          </w:p>
        </w:tc>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6774EA">
            <w:pPr>
              <w:jc w:val="center"/>
              <w:rPr>
                <w:rFonts w:hint="eastAsia" w:ascii="宋体" w:hAnsi="宋体" w:eastAsia="宋体" w:cs="宋体"/>
                <w:i w:val="0"/>
                <w:color w:val="000000"/>
                <w:sz w:val="22"/>
                <w:szCs w:val="22"/>
                <w:u w:val="none"/>
              </w:rPr>
            </w:pPr>
          </w:p>
        </w:tc>
        <w:tc>
          <w:tcPr>
            <w:tcW w:w="7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F3C4D8">
            <w:pPr>
              <w:jc w:val="center"/>
              <w:rPr>
                <w:rFonts w:hint="eastAsia" w:ascii="宋体" w:hAnsi="宋体" w:eastAsia="宋体" w:cs="宋体"/>
                <w:i w:val="0"/>
                <w:color w:val="000000"/>
                <w:sz w:val="22"/>
                <w:szCs w:val="22"/>
                <w:u w:val="none"/>
              </w:rPr>
            </w:pPr>
          </w:p>
        </w:tc>
        <w:tc>
          <w:tcPr>
            <w:tcW w:w="193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62AD9F">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规划设计使用年限 </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9D9141">
            <w:pPr>
              <w:keepNext w:val="0"/>
              <w:keepLines w:val="0"/>
              <w:widowControl/>
              <w:suppressLineNumbers w:val="0"/>
              <w:jc w:val="center"/>
              <w:textAlignment w:val="center"/>
              <w:rPr>
                <w:rFonts w:ascii="Calibri" w:hAnsi="Calibri" w:eastAsia="宋体" w:cs="Calibri"/>
                <w:i w:val="0"/>
                <w:color w:val="000000"/>
                <w:sz w:val="20"/>
                <w:szCs w:val="20"/>
                <w:u w:val="none"/>
              </w:rPr>
            </w:pPr>
            <w:r>
              <w:rPr>
                <w:rFonts w:hint="default" w:ascii="Calibri" w:hAnsi="Calibri" w:eastAsia="宋体" w:cs="Calibri"/>
                <w:i w:val="0"/>
                <w:color w:val="000000"/>
                <w:kern w:val="0"/>
                <w:sz w:val="20"/>
                <w:szCs w:val="20"/>
                <w:u w:val="none"/>
                <w:lang w:val="en-US" w:eastAsia="zh-CN" w:bidi="ar"/>
              </w:rPr>
              <w:t>15</w:t>
            </w:r>
            <w:r>
              <w:rPr>
                <w:rFonts w:hint="eastAsia" w:ascii="宋体" w:hAnsi="宋体" w:eastAsia="宋体" w:cs="宋体"/>
                <w:i w:val="0"/>
                <w:color w:val="000000"/>
                <w:kern w:val="0"/>
                <w:sz w:val="20"/>
                <w:szCs w:val="20"/>
                <w:u w:val="none"/>
                <w:lang w:val="en-US" w:eastAsia="zh-CN" w:bidi="ar"/>
              </w:rPr>
              <w:t>年</w:t>
            </w: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D819B1">
            <w:pPr>
              <w:keepNext w:val="0"/>
              <w:keepLines w:val="0"/>
              <w:widowControl/>
              <w:suppressLineNumbers w:val="0"/>
              <w:jc w:val="center"/>
              <w:textAlignment w:val="center"/>
              <w:rPr>
                <w:rFonts w:hint="default" w:ascii="Calibri" w:hAnsi="Calibri" w:eastAsia="宋体" w:cs="Calibri"/>
                <w:i w:val="0"/>
                <w:color w:val="000000"/>
                <w:sz w:val="20"/>
                <w:szCs w:val="20"/>
                <w:u w:val="none"/>
              </w:rPr>
            </w:pPr>
            <w:r>
              <w:rPr>
                <w:rFonts w:hint="default" w:ascii="Calibri" w:hAnsi="Calibri" w:eastAsia="宋体" w:cs="Calibri"/>
                <w:i w:val="0"/>
                <w:color w:val="000000"/>
                <w:kern w:val="0"/>
                <w:sz w:val="20"/>
                <w:szCs w:val="20"/>
                <w:u w:val="none"/>
                <w:lang w:val="en-US" w:eastAsia="zh-CN" w:bidi="ar"/>
              </w:rPr>
              <w:t>15</w:t>
            </w:r>
            <w:r>
              <w:rPr>
                <w:rFonts w:hint="eastAsia" w:ascii="宋体" w:hAnsi="宋体" w:eastAsia="宋体" w:cs="宋体"/>
                <w:i w:val="0"/>
                <w:color w:val="000000"/>
                <w:kern w:val="0"/>
                <w:sz w:val="20"/>
                <w:szCs w:val="20"/>
                <w:u w:val="none"/>
                <w:lang w:val="en-US" w:eastAsia="zh-CN" w:bidi="ar"/>
              </w:rPr>
              <w:t>年</w:t>
            </w:r>
          </w:p>
        </w:tc>
        <w:tc>
          <w:tcPr>
            <w:tcW w:w="6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3EBC3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6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C76B42">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3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2D602E">
            <w:pPr>
              <w:jc w:val="center"/>
              <w:rPr>
                <w:rFonts w:hint="eastAsia" w:ascii="宋体" w:hAnsi="宋体" w:eastAsia="宋体" w:cs="宋体"/>
                <w:i w:val="0"/>
                <w:color w:val="000000"/>
                <w:sz w:val="22"/>
                <w:szCs w:val="22"/>
                <w:u w:val="none"/>
              </w:rPr>
            </w:pPr>
          </w:p>
        </w:tc>
      </w:tr>
      <w:tr w14:paraId="6574E324">
        <w:tblPrEx>
          <w:tblCellMar>
            <w:top w:w="0" w:type="dxa"/>
            <w:left w:w="0" w:type="dxa"/>
            <w:bottom w:w="0" w:type="dxa"/>
            <w:right w:w="0" w:type="dxa"/>
          </w:tblCellMar>
        </w:tblPrEx>
        <w:trPr>
          <w:trHeight w:val="900" w:hRule="atLeast"/>
        </w:trPr>
        <w:tc>
          <w:tcPr>
            <w:tcW w:w="55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E5D0EF7">
            <w:pPr>
              <w:jc w:val="center"/>
              <w:rPr>
                <w:rFonts w:hint="eastAsia" w:ascii="宋体" w:hAnsi="宋体" w:eastAsia="宋体" w:cs="宋体"/>
                <w:i w:val="0"/>
                <w:color w:val="000000"/>
                <w:sz w:val="22"/>
                <w:szCs w:val="22"/>
                <w:u w:val="none"/>
              </w:rPr>
            </w:pPr>
          </w:p>
        </w:tc>
        <w:tc>
          <w:tcPr>
            <w:tcW w:w="44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6A043E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满意度指标</w:t>
            </w:r>
          </w:p>
        </w:tc>
        <w:tc>
          <w:tcPr>
            <w:tcW w:w="7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5D2011">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服务对象满意度指标</w:t>
            </w:r>
          </w:p>
        </w:tc>
        <w:tc>
          <w:tcPr>
            <w:tcW w:w="193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FFE78B">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受益满意度（%）</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6C53E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≧90%</w:t>
            </w: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F221B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≧90%</w:t>
            </w:r>
          </w:p>
        </w:tc>
        <w:tc>
          <w:tcPr>
            <w:tcW w:w="6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70BEB2">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6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C8BB26">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3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AF9266">
            <w:pPr>
              <w:jc w:val="center"/>
              <w:rPr>
                <w:rFonts w:hint="eastAsia" w:ascii="宋体" w:hAnsi="宋体" w:eastAsia="宋体" w:cs="宋体"/>
                <w:i w:val="0"/>
                <w:color w:val="000000"/>
                <w:sz w:val="22"/>
                <w:szCs w:val="22"/>
                <w:u w:val="none"/>
              </w:rPr>
            </w:pPr>
          </w:p>
        </w:tc>
      </w:tr>
      <w:tr w14:paraId="402A41A4">
        <w:tblPrEx>
          <w:tblCellMar>
            <w:top w:w="0" w:type="dxa"/>
            <w:left w:w="0" w:type="dxa"/>
            <w:bottom w:w="0" w:type="dxa"/>
            <w:right w:w="0" w:type="dxa"/>
          </w:tblCellMar>
        </w:tblPrEx>
        <w:trPr>
          <w:trHeight w:val="500" w:hRule="atLeast"/>
        </w:trPr>
        <w:tc>
          <w:tcPr>
            <w:tcW w:w="569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C3A15F">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总分</w:t>
            </w:r>
          </w:p>
        </w:tc>
        <w:tc>
          <w:tcPr>
            <w:tcW w:w="6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E64E6D">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6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80CFDA">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13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7C0DF0">
            <w:pPr>
              <w:jc w:val="center"/>
              <w:rPr>
                <w:rFonts w:hint="eastAsia" w:ascii="宋体" w:hAnsi="宋体" w:eastAsia="宋体" w:cs="宋体"/>
                <w:i w:val="0"/>
                <w:color w:val="000000"/>
                <w:sz w:val="22"/>
                <w:szCs w:val="22"/>
                <w:u w:val="none"/>
              </w:rPr>
            </w:pPr>
          </w:p>
        </w:tc>
      </w:tr>
    </w:tbl>
    <w:p w14:paraId="2322F565">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val="en-US" w:eastAsia="zh-CN"/>
        </w:rPr>
        <w:t>3.吉木萨尔县人民法院案件诉讼费项目</w:t>
      </w:r>
      <w:r>
        <w:rPr>
          <w:rFonts w:hint="eastAsia" w:ascii="仿宋_GB2312" w:eastAsia="仿宋_GB2312"/>
          <w:sz w:val="32"/>
          <w:szCs w:val="32"/>
          <w:highlight w:val="none"/>
        </w:rPr>
        <w:t>绩效自评综述：根据年初设定的绩效目标，吉木萨尔县人民法院案件诉讼费项目绩效自评得分为</w:t>
      </w:r>
      <w:r>
        <w:rPr>
          <w:rFonts w:hint="eastAsia" w:ascii="仿宋_GB2312" w:eastAsia="仿宋_GB2312"/>
          <w:sz w:val="32"/>
          <w:szCs w:val="32"/>
          <w:highlight w:val="none"/>
          <w:lang w:val="en-US" w:eastAsia="zh-CN"/>
        </w:rPr>
        <w:t>100</w:t>
      </w:r>
      <w:r>
        <w:rPr>
          <w:rFonts w:hint="eastAsia" w:ascii="仿宋_GB2312" w:eastAsia="仿宋_GB2312"/>
          <w:sz w:val="32"/>
          <w:szCs w:val="32"/>
          <w:highlight w:val="none"/>
        </w:rPr>
        <w:t>分。项目全年预算数为</w:t>
      </w:r>
      <w:r>
        <w:rPr>
          <w:rFonts w:hint="eastAsia" w:ascii="仿宋_GB2312" w:eastAsia="仿宋_GB2312"/>
          <w:sz w:val="32"/>
          <w:szCs w:val="32"/>
          <w:highlight w:val="none"/>
          <w:lang w:val="en-US" w:eastAsia="zh-CN"/>
        </w:rPr>
        <w:t>30</w:t>
      </w:r>
      <w:r>
        <w:rPr>
          <w:rFonts w:hint="eastAsia" w:ascii="仿宋_GB2312" w:eastAsia="仿宋_GB2312"/>
          <w:sz w:val="32"/>
          <w:szCs w:val="32"/>
          <w:highlight w:val="none"/>
        </w:rPr>
        <w:t>万元，执行数为</w:t>
      </w:r>
      <w:r>
        <w:rPr>
          <w:rFonts w:hint="eastAsia" w:ascii="仿宋_GB2312" w:eastAsia="仿宋_GB2312"/>
          <w:sz w:val="32"/>
          <w:szCs w:val="32"/>
          <w:highlight w:val="none"/>
          <w:lang w:val="en-US" w:eastAsia="zh-CN"/>
        </w:rPr>
        <w:t>30</w:t>
      </w:r>
      <w:r>
        <w:rPr>
          <w:rFonts w:hint="eastAsia" w:ascii="仿宋_GB2312" w:eastAsia="仿宋_GB2312"/>
          <w:sz w:val="32"/>
          <w:szCs w:val="32"/>
          <w:highlight w:val="none"/>
        </w:rPr>
        <w:t>万元，完成预算的1</w:t>
      </w:r>
      <w:r>
        <w:rPr>
          <w:rFonts w:hint="eastAsia" w:ascii="仿宋_GB2312" w:eastAsia="仿宋_GB2312"/>
          <w:sz w:val="32"/>
          <w:szCs w:val="32"/>
          <w:highlight w:val="none"/>
          <w:lang w:val="en-US" w:eastAsia="zh-CN"/>
        </w:rPr>
        <w:t>00%</w:t>
      </w:r>
      <w:r>
        <w:rPr>
          <w:rFonts w:hint="eastAsia" w:ascii="仿宋_GB2312" w:eastAsia="仿宋_GB2312"/>
          <w:sz w:val="32"/>
          <w:szCs w:val="32"/>
          <w:highlight w:val="none"/>
        </w:rPr>
        <w:t>。主要产出和效果：5家公司诉讼费已全额拨付。1.吉木萨尔县环保再生资源有限责任公司2万，2.吉木萨尔县鑫盛达房地产开发有限公司4万，3.新疆弘兴伟业房地产开发有限公司3万，4.新疆北庭盛业农业科技发展有限责任公司4万，5.新疆盛腾投资有限公司17万。本次支付后施工工程款全部支付完毕</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发现的问题及原因：</w:t>
      </w:r>
      <w:r>
        <w:rPr>
          <w:rFonts w:hint="eastAsia" w:ascii="仿宋_GB2312" w:eastAsia="仿宋_GB2312"/>
          <w:sz w:val="32"/>
          <w:szCs w:val="32"/>
          <w:highlight w:val="none"/>
          <w:lang w:eastAsia="zh-CN"/>
        </w:rPr>
        <w:t>无问题</w:t>
      </w:r>
      <w:r>
        <w:rPr>
          <w:rFonts w:hint="eastAsia" w:ascii="仿宋_GB2312" w:eastAsia="仿宋_GB2312"/>
          <w:sz w:val="32"/>
          <w:szCs w:val="32"/>
          <w:highlight w:val="none"/>
        </w:rPr>
        <w:t>。下一步改进措施：</w:t>
      </w:r>
      <w:r>
        <w:rPr>
          <w:rFonts w:hint="eastAsia" w:ascii="仿宋_GB2312" w:eastAsia="仿宋_GB2312"/>
          <w:sz w:val="32"/>
          <w:szCs w:val="32"/>
          <w:highlight w:val="none"/>
          <w:lang w:eastAsia="zh-CN"/>
        </w:rPr>
        <w:t>无措施</w:t>
      </w:r>
      <w:r>
        <w:rPr>
          <w:rFonts w:hint="eastAsia" w:ascii="仿宋_GB2312" w:eastAsia="仿宋_GB2312"/>
          <w:sz w:val="32"/>
          <w:szCs w:val="32"/>
          <w:highlight w:val="none"/>
        </w:rPr>
        <w:t>。</w:t>
      </w:r>
    </w:p>
    <w:tbl>
      <w:tblPr>
        <w:tblStyle w:val="5"/>
        <w:tblW w:w="8336" w:type="dxa"/>
        <w:tblInd w:w="0" w:type="dxa"/>
        <w:shd w:val="clear" w:color="auto" w:fill="auto"/>
        <w:tblLayout w:type="fixed"/>
        <w:tblCellMar>
          <w:top w:w="0" w:type="dxa"/>
          <w:left w:w="0" w:type="dxa"/>
          <w:bottom w:w="0" w:type="dxa"/>
          <w:right w:w="0" w:type="dxa"/>
        </w:tblCellMar>
      </w:tblPr>
      <w:tblGrid>
        <w:gridCol w:w="578"/>
        <w:gridCol w:w="466"/>
        <w:gridCol w:w="817"/>
        <w:gridCol w:w="819"/>
        <w:gridCol w:w="909"/>
        <w:gridCol w:w="283"/>
        <w:gridCol w:w="959"/>
        <w:gridCol w:w="752"/>
        <w:gridCol w:w="285"/>
        <w:gridCol w:w="430"/>
        <w:gridCol w:w="524"/>
        <w:gridCol w:w="123"/>
        <w:gridCol w:w="717"/>
        <w:gridCol w:w="674"/>
      </w:tblGrid>
      <w:tr w14:paraId="6C5F8C40">
        <w:tblPrEx>
          <w:shd w:val="clear" w:color="auto" w:fill="auto"/>
          <w:tblCellMar>
            <w:top w:w="0" w:type="dxa"/>
            <w:left w:w="0" w:type="dxa"/>
            <w:bottom w:w="0" w:type="dxa"/>
            <w:right w:w="0" w:type="dxa"/>
          </w:tblCellMar>
        </w:tblPrEx>
        <w:trPr>
          <w:trHeight w:val="405" w:hRule="atLeast"/>
        </w:trPr>
        <w:tc>
          <w:tcPr>
            <w:tcW w:w="8336" w:type="dxa"/>
            <w:gridSpan w:val="14"/>
            <w:tcBorders>
              <w:top w:val="nil"/>
              <w:left w:val="nil"/>
              <w:bottom w:val="nil"/>
              <w:right w:val="nil"/>
            </w:tcBorders>
            <w:shd w:val="clear" w:color="auto" w:fill="auto"/>
            <w:tcMar>
              <w:top w:w="15" w:type="dxa"/>
              <w:left w:w="15" w:type="dxa"/>
              <w:right w:w="15" w:type="dxa"/>
            </w:tcMar>
            <w:vAlign w:val="center"/>
          </w:tcPr>
          <w:p w14:paraId="49C536A0">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14:paraId="77B8A5A1">
        <w:tblPrEx>
          <w:shd w:val="clear" w:color="auto" w:fill="auto"/>
          <w:tblCellMar>
            <w:top w:w="0" w:type="dxa"/>
            <w:left w:w="0" w:type="dxa"/>
            <w:bottom w:w="0" w:type="dxa"/>
            <w:right w:w="0" w:type="dxa"/>
          </w:tblCellMar>
        </w:tblPrEx>
        <w:trPr>
          <w:trHeight w:val="405" w:hRule="atLeast"/>
        </w:trPr>
        <w:tc>
          <w:tcPr>
            <w:tcW w:w="8336" w:type="dxa"/>
            <w:gridSpan w:val="14"/>
            <w:tcBorders>
              <w:top w:val="nil"/>
              <w:left w:val="nil"/>
              <w:bottom w:val="nil"/>
              <w:right w:val="nil"/>
            </w:tcBorders>
            <w:shd w:val="clear" w:color="auto" w:fill="auto"/>
            <w:tcMar>
              <w:top w:w="15" w:type="dxa"/>
              <w:left w:w="15" w:type="dxa"/>
              <w:right w:w="15" w:type="dxa"/>
            </w:tcMar>
            <w:vAlign w:val="center"/>
          </w:tcPr>
          <w:p w14:paraId="07F7370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（2019年度）</w:t>
            </w:r>
          </w:p>
        </w:tc>
      </w:tr>
      <w:tr w14:paraId="7402CC2E">
        <w:tblPrEx>
          <w:shd w:val="clear" w:color="auto" w:fill="auto"/>
          <w:tblCellMar>
            <w:top w:w="0" w:type="dxa"/>
            <w:left w:w="0" w:type="dxa"/>
            <w:bottom w:w="0" w:type="dxa"/>
            <w:right w:w="0" w:type="dxa"/>
          </w:tblCellMar>
        </w:tblPrEx>
        <w:trPr>
          <w:trHeight w:val="319" w:hRule="atLeast"/>
        </w:trPr>
        <w:tc>
          <w:tcPr>
            <w:tcW w:w="10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57EEF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7292"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22D1C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吉木萨尔县人民法院案件诉讼费</w:t>
            </w:r>
          </w:p>
        </w:tc>
      </w:tr>
      <w:tr w14:paraId="01354EDC">
        <w:tblPrEx>
          <w:shd w:val="clear" w:color="auto" w:fill="auto"/>
          <w:tblCellMar>
            <w:top w:w="0" w:type="dxa"/>
            <w:left w:w="0" w:type="dxa"/>
            <w:bottom w:w="0" w:type="dxa"/>
            <w:right w:w="0" w:type="dxa"/>
          </w:tblCellMar>
        </w:tblPrEx>
        <w:trPr>
          <w:trHeight w:val="319" w:hRule="atLeast"/>
        </w:trPr>
        <w:tc>
          <w:tcPr>
            <w:tcW w:w="10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06F0B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主管部门</w:t>
            </w:r>
          </w:p>
        </w:tc>
        <w:tc>
          <w:tcPr>
            <w:tcW w:w="3787"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31C2A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吉木萨尔县自然资源局</w:t>
            </w:r>
          </w:p>
        </w:tc>
        <w:tc>
          <w:tcPr>
            <w:tcW w:w="10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195D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实施单位</w:t>
            </w:r>
          </w:p>
        </w:tc>
        <w:tc>
          <w:tcPr>
            <w:tcW w:w="246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D93C3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吉木萨尔县自然资源局</w:t>
            </w:r>
          </w:p>
        </w:tc>
      </w:tr>
      <w:tr w14:paraId="44D9BBFB">
        <w:tblPrEx>
          <w:shd w:val="clear" w:color="auto" w:fill="auto"/>
          <w:tblCellMar>
            <w:top w:w="0" w:type="dxa"/>
            <w:left w:w="0" w:type="dxa"/>
            <w:bottom w:w="0" w:type="dxa"/>
            <w:right w:w="0" w:type="dxa"/>
          </w:tblCellMar>
        </w:tblPrEx>
        <w:trPr>
          <w:trHeight w:val="319" w:hRule="atLeast"/>
        </w:trPr>
        <w:tc>
          <w:tcPr>
            <w:tcW w:w="104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7C61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       （万元）</w:t>
            </w: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71D573">
            <w:pPr>
              <w:jc w:val="center"/>
              <w:rPr>
                <w:rFonts w:hint="eastAsia" w:ascii="宋体" w:hAnsi="宋体" w:eastAsia="宋体" w:cs="宋体"/>
                <w:i w:val="0"/>
                <w:color w:val="000000"/>
                <w:sz w:val="20"/>
                <w:szCs w:val="20"/>
                <w:u w:val="none"/>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B244E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年初预算数</w:t>
            </w: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6803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全年预算数</w:t>
            </w:r>
          </w:p>
        </w:tc>
        <w:tc>
          <w:tcPr>
            <w:tcW w:w="10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F09B7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全年执行数</w:t>
            </w:r>
          </w:p>
        </w:tc>
        <w:tc>
          <w:tcPr>
            <w:tcW w:w="9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72B70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B5997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执行率</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6CFE9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r>
      <w:tr w14:paraId="5CE70123">
        <w:tblPrEx>
          <w:shd w:val="clear" w:color="auto" w:fill="auto"/>
          <w:tblCellMar>
            <w:top w:w="0" w:type="dxa"/>
            <w:left w:w="0" w:type="dxa"/>
            <w:bottom w:w="0" w:type="dxa"/>
            <w:right w:w="0" w:type="dxa"/>
          </w:tblCellMar>
        </w:tblPrEx>
        <w:trPr>
          <w:trHeight w:val="319" w:hRule="atLeast"/>
        </w:trPr>
        <w:tc>
          <w:tcPr>
            <w:tcW w:w="10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7E5980">
            <w:pPr>
              <w:jc w:val="center"/>
              <w:rPr>
                <w:rFonts w:hint="eastAsia" w:ascii="宋体" w:hAnsi="宋体" w:eastAsia="宋体" w:cs="宋体"/>
                <w:i w:val="0"/>
                <w:color w:val="000000"/>
                <w:sz w:val="20"/>
                <w:szCs w:val="20"/>
                <w:u w:val="none"/>
              </w:rPr>
            </w:pP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8769C5">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年度资金总额</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D9EF2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30.00 </w:t>
            </w: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4DBDE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30.00 </w:t>
            </w:r>
          </w:p>
        </w:tc>
        <w:tc>
          <w:tcPr>
            <w:tcW w:w="10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06075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30.00 </w:t>
            </w:r>
          </w:p>
        </w:tc>
        <w:tc>
          <w:tcPr>
            <w:tcW w:w="9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D5D88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49004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5C3F9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r>
      <w:tr w14:paraId="188D99F4">
        <w:tblPrEx>
          <w:shd w:val="clear" w:color="auto" w:fill="auto"/>
          <w:tblCellMar>
            <w:top w:w="0" w:type="dxa"/>
            <w:left w:w="0" w:type="dxa"/>
            <w:bottom w:w="0" w:type="dxa"/>
            <w:right w:w="0" w:type="dxa"/>
          </w:tblCellMar>
        </w:tblPrEx>
        <w:trPr>
          <w:trHeight w:val="319" w:hRule="atLeast"/>
        </w:trPr>
        <w:tc>
          <w:tcPr>
            <w:tcW w:w="10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48D418">
            <w:pPr>
              <w:jc w:val="center"/>
              <w:rPr>
                <w:rFonts w:hint="eastAsia" w:ascii="宋体" w:hAnsi="宋体" w:eastAsia="宋体" w:cs="宋体"/>
                <w:i w:val="0"/>
                <w:color w:val="000000"/>
                <w:sz w:val="20"/>
                <w:szCs w:val="20"/>
                <w:u w:val="none"/>
              </w:rPr>
            </w:pP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10028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其中：当年财政拨款</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00375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30.00 </w:t>
            </w: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2CBC0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30.00 </w:t>
            </w:r>
          </w:p>
        </w:tc>
        <w:tc>
          <w:tcPr>
            <w:tcW w:w="10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82ABA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30.00 </w:t>
            </w:r>
          </w:p>
        </w:tc>
        <w:tc>
          <w:tcPr>
            <w:tcW w:w="9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2BD3F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C8460A">
            <w:pPr>
              <w:jc w:val="center"/>
              <w:rPr>
                <w:rFonts w:hint="eastAsia" w:ascii="宋体" w:hAnsi="宋体" w:eastAsia="宋体" w:cs="宋体"/>
                <w:i w:val="0"/>
                <w:color w:val="000000"/>
                <w:sz w:val="20"/>
                <w:szCs w:val="20"/>
                <w:u w:val="none"/>
              </w:rPr>
            </w:pP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198D4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14:paraId="1A040761">
        <w:tblPrEx>
          <w:shd w:val="clear" w:color="auto" w:fill="auto"/>
          <w:tblCellMar>
            <w:top w:w="0" w:type="dxa"/>
            <w:left w:w="0" w:type="dxa"/>
            <w:bottom w:w="0" w:type="dxa"/>
            <w:right w:w="0" w:type="dxa"/>
          </w:tblCellMar>
        </w:tblPrEx>
        <w:trPr>
          <w:trHeight w:val="319" w:hRule="atLeast"/>
        </w:trPr>
        <w:tc>
          <w:tcPr>
            <w:tcW w:w="10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150D1">
            <w:pPr>
              <w:jc w:val="center"/>
              <w:rPr>
                <w:rFonts w:hint="eastAsia" w:ascii="宋体" w:hAnsi="宋体" w:eastAsia="宋体" w:cs="宋体"/>
                <w:i w:val="0"/>
                <w:color w:val="000000"/>
                <w:sz w:val="20"/>
                <w:szCs w:val="20"/>
                <w:u w:val="none"/>
              </w:rPr>
            </w:pP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CF9E1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上年结转资金</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A7B35A">
            <w:pPr>
              <w:jc w:val="center"/>
              <w:rPr>
                <w:rFonts w:hint="eastAsia" w:ascii="宋体" w:hAnsi="宋体" w:eastAsia="宋体" w:cs="宋体"/>
                <w:i w:val="0"/>
                <w:color w:val="000000"/>
                <w:sz w:val="20"/>
                <w:szCs w:val="20"/>
                <w:u w:val="none"/>
              </w:rPr>
            </w:pP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77E7BE">
            <w:pPr>
              <w:jc w:val="center"/>
              <w:rPr>
                <w:rFonts w:hint="eastAsia" w:ascii="宋体" w:hAnsi="宋体" w:eastAsia="宋体" w:cs="宋体"/>
                <w:i w:val="0"/>
                <w:color w:val="000000"/>
                <w:sz w:val="20"/>
                <w:szCs w:val="20"/>
                <w:u w:val="none"/>
              </w:rPr>
            </w:pPr>
          </w:p>
        </w:tc>
        <w:tc>
          <w:tcPr>
            <w:tcW w:w="10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356BB3">
            <w:pPr>
              <w:jc w:val="center"/>
              <w:rPr>
                <w:rFonts w:hint="eastAsia" w:ascii="宋体" w:hAnsi="宋体" w:eastAsia="宋体" w:cs="宋体"/>
                <w:i w:val="0"/>
                <w:color w:val="000000"/>
                <w:sz w:val="20"/>
                <w:szCs w:val="20"/>
                <w:u w:val="none"/>
              </w:rPr>
            </w:pPr>
          </w:p>
        </w:tc>
        <w:tc>
          <w:tcPr>
            <w:tcW w:w="9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4334F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0E3AFB">
            <w:pPr>
              <w:jc w:val="center"/>
              <w:rPr>
                <w:rFonts w:hint="eastAsia" w:ascii="宋体" w:hAnsi="宋体" w:eastAsia="宋体" w:cs="宋体"/>
                <w:i w:val="0"/>
                <w:color w:val="000000"/>
                <w:sz w:val="20"/>
                <w:szCs w:val="20"/>
                <w:u w:val="none"/>
              </w:rPr>
            </w:pP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BD2AF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14:paraId="0D3A9000">
        <w:tblPrEx>
          <w:shd w:val="clear" w:color="auto" w:fill="auto"/>
          <w:tblCellMar>
            <w:top w:w="0" w:type="dxa"/>
            <w:left w:w="0" w:type="dxa"/>
            <w:bottom w:w="0" w:type="dxa"/>
            <w:right w:w="0" w:type="dxa"/>
          </w:tblCellMar>
        </w:tblPrEx>
        <w:trPr>
          <w:trHeight w:val="319" w:hRule="atLeast"/>
        </w:trPr>
        <w:tc>
          <w:tcPr>
            <w:tcW w:w="10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E48736">
            <w:pPr>
              <w:jc w:val="center"/>
              <w:rPr>
                <w:rFonts w:hint="eastAsia" w:ascii="宋体" w:hAnsi="宋体" w:eastAsia="宋体" w:cs="宋体"/>
                <w:i w:val="0"/>
                <w:color w:val="000000"/>
                <w:sz w:val="20"/>
                <w:szCs w:val="20"/>
                <w:u w:val="none"/>
              </w:rPr>
            </w:pP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50978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其他资金</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37357F">
            <w:pPr>
              <w:jc w:val="center"/>
              <w:rPr>
                <w:rFonts w:hint="eastAsia" w:ascii="宋体" w:hAnsi="宋体" w:eastAsia="宋体" w:cs="宋体"/>
                <w:i w:val="0"/>
                <w:color w:val="000000"/>
                <w:sz w:val="20"/>
                <w:szCs w:val="20"/>
                <w:u w:val="none"/>
              </w:rPr>
            </w:pP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D10E66">
            <w:pPr>
              <w:jc w:val="center"/>
              <w:rPr>
                <w:rFonts w:hint="eastAsia" w:ascii="宋体" w:hAnsi="宋体" w:eastAsia="宋体" w:cs="宋体"/>
                <w:i w:val="0"/>
                <w:color w:val="000000"/>
                <w:sz w:val="20"/>
                <w:szCs w:val="20"/>
                <w:u w:val="none"/>
              </w:rPr>
            </w:pPr>
          </w:p>
        </w:tc>
        <w:tc>
          <w:tcPr>
            <w:tcW w:w="10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AC066C">
            <w:pPr>
              <w:jc w:val="center"/>
              <w:rPr>
                <w:rFonts w:hint="eastAsia" w:ascii="宋体" w:hAnsi="宋体" w:eastAsia="宋体" w:cs="宋体"/>
                <w:i w:val="0"/>
                <w:color w:val="000000"/>
                <w:sz w:val="20"/>
                <w:szCs w:val="20"/>
                <w:u w:val="none"/>
              </w:rPr>
            </w:pPr>
          </w:p>
        </w:tc>
        <w:tc>
          <w:tcPr>
            <w:tcW w:w="9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AFCEF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E51E80">
            <w:pPr>
              <w:jc w:val="center"/>
              <w:rPr>
                <w:rFonts w:hint="eastAsia" w:ascii="宋体" w:hAnsi="宋体" w:eastAsia="宋体" w:cs="宋体"/>
                <w:i w:val="0"/>
                <w:color w:val="000000"/>
                <w:sz w:val="20"/>
                <w:szCs w:val="20"/>
                <w:u w:val="none"/>
              </w:rPr>
            </w:pP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8288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14:paraId="25E9B071">
        <w:tblPrEx>
          <w:shd w:val="clear" w:color="auto" w:fill="auto"/>
          <w:tblCellMar>
            <w:top w:w="0" w:type="dxa"/>
            <w:left w:w="0" w:type="dxa"/>
            <w:bottom w:w="0" w:type="dxa"/>
            <w:right w:w="0" w:type="dxa"/>
          </w:tblCellMar>
        </w:tblPrEx>
        <w:trPr>
          <w:trHeight w:val="319" w:hRule="atLeast"/>
        </w:trPr>
        <w:tc>
          <w:tcPr>
            <w:tcW w:w="57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89A1E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年度总体目标</w:t>
            </w:r>
          </w:p>
        </w:tc>
        <w:tc>
          <w:tcPr>
            <w:tcW w:w="425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4B713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预期目标</w:t>
            </w:r>
          </w:p>
        </w:tc>
        <w:tc>
          <w:tcPr>
            <w:tcW w:w="3505"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A019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实际完成情况</w:t>
            </w:r>
          </w:p>
        </w:tc>
      </w:tr>
      <w:tr w14:paraId="07A7AD80">
        <w:tblPrEx>
          <w:shd w:val="clear" w:color="auto" w:fill="auto"/>
          <w:tblCellMar>
            <w:top w:w="0" w:type="dxa"/>
            <w:left w:w="0" w:type="dxa"/>
            <w:bottom w:w="0" w:type="dxa"/>
            <w:right w:w="0" w:type="dxa"/>
          </w:tblCellMar>
        </w:tblPrEx>
        <w:trPr>
          <w:trHeight w:val="1365" w:hRule="atLeast"/>
        </w:trPr>
        <w:tc>
          <w:tcPr>
            <w:tcW w:w="5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086570">
            <w:pPr>
              <w:jc w:val="center"/>
              <w:rPr>
                <w:rFonts w:hint="eastAsia" w:ascii="宋体" w:hAnsi="宋体" w:eastAsia="宋体" w:cs="宋体"/>
                <w:i w:val="0"/>
                <w:color w:val="000000"/>
                <w:sz w:val="20"/>
                <w:szCs w:val="20"/>
                <w:u w:val="none"/>
              </w:rPr>
            </w:pPr>
          </w:p>
        </w:tc>
        <w:tc>
          <w:tcPr>
            <w:tcW w:w="425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9DE8A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因5家公司土地出让金未交完，对5家公司进行法院起诉，30万用于起诉5家公司的律师诉讼费。1.吉木萨尔县环保再生资源有限责任公司2.吉木萨尔县鑫盛达房地产开发有限公司3.新疆弘兴伟业房地产开发有限公司4.新疆北庭盛业农业科技发展有限责任公司5.新疆盛腾投资有限公司。</w:t>
            </w:r>
          </w:p>
        </w:tc>
        <w:tc>
          <w:tcPr>
            <w:tcW w:w="3505"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86911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目前为止，5家公司诉讼费已全额拨付。1.吉木萨尔县环保再生资源有限责任公司2万，2.吉木萨尔县鑫盛达房地产开发有限公司4万，3.新疆弘兴伟业房地产开发有限公司3万，4.新疆北庭盛业农业科技发展有限责任公司4万，5.新疆盛腾投资有限公司17万。</w:t>
            </w:r>
          </w:p>
        </w:tc>
      </w:tr>
      <w:tr w14:paraId="0293F933">
        <w:tblPrEx>
          <w:shd w:val="clear" w:color="auto" w:fill="auto"/>
          <w:tblCellMar>
            <w:top w:w="0" w:type="dxa"/>
            <w:left w:w="0" w:type="dxa"/>
            <w:bottom w:w="0" w:type="dxa"/>
            <w:right w:w="0" w:type="dxa"/>
          </w:tblCellMar>
        </w:tblPrEx>
        <w:trPr>
          <w:trHeight w:val="319" w:hRule="atLeast"/>
        </w:trPr>
        <w:tc>
          <w:tcPr>
            <w:tcW w:w="578"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47F495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绩              效    指    标</w:t>
            </w:r>
          </w:p>
        </w:tc>
        <w:tc>
          <w:tcPr>
            <w:tcW w:w="46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68E9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一级指标</w:t>
            </w:r>
          </w:p>
        </w:tc>
        <w:tc>
          <w:tcPr>
            <w:tcW w:w="81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0A7EF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二级指标</w:t>
            </w:r>
          </w:p>
        </w:tc>
        <w:tc>
          <w:tcPr>
            <w:tcW w:w="201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A5E3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三级指标</w:t>
            </w:r>
          </w:p>
        </w:tc>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4215E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w:t>
            </w:r>
          </w:p>
        </w:tc>
        <w:tc>
          <w:tcPr>
            <w:tcW w:w="7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25135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w:t>
            </w:r>
          </w:p>
        </w:tc>
        <w:tc>
          <w:tcPr>
            <w:tcW w:w="71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DC79C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64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2AA3E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c>
          <w:tcPr>
            <w:tcW w:w="139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98F0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偏差原因分析及改进措施</w:t>
            </w:r>
          </w:p>
        </w:tc>
      </w:tr>
      <w:tr w14:paraId="0C916025">
        <w:tblPrEx>
          <w:shd w:val="clear" w:color="auto" w:fill="auto"/>
          <w:tblCellMar>
            <w:top w:w="0" w:type="dxa"/>
            <w:left w:w="0" w:type="dxa"/>
            <w:bottom w:w="0" w:type="dxa"/>
            <w:right w:w="0" w:type="dxa"/>
          </w:tblCellMar>
        </w:tblPrEx>
        <w:trPr>
          <w:trHeight w:val="319" w:hRule="atLeast"/>
        </w:trPr>
        <w:tc>
          <w:tcPr>
            <w:tcW w:w="57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4D4D43A">
            <w:pPr>
              <w:jc w:val="center"/>
              <w:rPr>
                <w:rFonts w:hint="eastAsia" w:ascii="宋体" w:hAnsi="宋体" w:eastAsia="宋体" w:cs="宋体"/>
                <w:i w:val="0"/>
                <w:color w:val="000000"/>
                <w:sz w:val="20"/>
                <w:szCs w:val="20"/>
                <w:u w:val="none"/>
              </w:rPr>
            </w:pPr>
          </w:p>
        </w:tc>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4B1238">
            <w:pPr>
              <w:jc w:val="center"/>
              <w:rPr>
                <w:rFonts w:hint="eastAsia" w:ascii="宋体" w:hAnsi="宋体" w:eastAsia="宋体" w:cs="宋体"/>
                <w:i w:val="0"/>
                <w:color w:val="000000"/>
                <w:sz w:val="20"/>
                <w:szCs w:val="20"/>
                <w:u w:val="none"/>
              </w:rPr>
            </w:pPr>
          </w:p>
        </w:tc>
        <w:tc>
          <w:tcPr>
            <w:tcW w:w="8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EBBBCF">
            <w:pPr>
              <w:jc w:val="center"/>
              <w:rPr>
                <w:rFonts w:hint="eastAsia" w:ascii="宋体" w:hAnsi="宋体" w:eastAsia="宋体" w:cs="宋体"/>
                <w:i w:val="0"/>
                <w:color w:val="000000"/>
                <w:sz w:val="20"/>
                <w:szCs w:val="20"/>
                <w:u w:val="none"/>
              </w:rPr>
            </w:pPr>
          </w:p>
        </w:tc>
        <w:tc>
          <w:tcPr>
            <w:tcW w:w="201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2A2DF5">
            <w:pPr>
              <w:jc w:val="center"/>
              <w:rPr>
                <w:rFonts w:hint="eastAsia" w:ascii="宋体" w:hAnsi="宋体" w:eastAsia="宋体" w:cs="宋体"/>
                <w:i w:val="0"/>
                <w:color w:val="000000"/>
                <w:sz w:val="20"/>
                <w:szCs w:val="20"/>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705AA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指标值</w:t>
            </w:r>
          </w:p>
        </w:tc>
        <w:tc>
          <w:tcPr>
            <w:tcW w:w="7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B4EBF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完成值</w:t>
            </w:r>
          </w:p>
        </w:tc>
        <w:tc>
          <w:tcPr>
            <w:tcW w:w="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7E7D52">
            <w:pPr>
              <w:jc w:val="center"/>
              <w:rPr>
                <w:rFonts w:hint="eastAsia" w:ascii="宋体" w:hAnsi="宋体" w:eastAsia="宋体" w:cs="宋体"/>
                <w:i w:val="0"/>
                <w:color w:val="000000"/>
                <w:sz w:val="20"/>
                <w:szCs w:val="20"/>
                <w:u w:val="none"/>
              </w:rPr>
            </w:pPr>
          </w:p>
        </w:tc>
        <w:tc>
          <w:tcPr>
            <w:tcW w:w="64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EDDDD7">
            <w:pPr>
              <w:jc w:val="center"/>
              <w:rPr>
                <w:rFonts w:hint="eastAsia" w:ascii="宋体" w:hAnsi="宋体" w:eastAsia="宋体" w:cs="宋体"/>
                <w:i w:val="0"/>
                <w:color w:val="000000"/>
                <w:sz w:val="20"/>
                <w:szCs w:val="20"/>
                <w:u w:val="none"/>
              </w:rPr>
            </w:pPr>
          </w:p>
        </w:tc>
        <w:tc>
          <w:tcPr>
            <w:tcW w:w="139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0A8E78">
            <w:pPr>
              <w:jc w:val="center"/>
              <w:rPr>
                <w:rFonts w:hint="eastAsia" w:ascii="宋体" w:hAnsi="宋体" w:eastAsia="宋体" w:cs="宋体"/>
                <w:i w:val="0"/>
                <w:color w:val="000000"/>
                <w:sz w:val="20"/>
                <w:szCs w:val="20"/>
                <w:u w:val="none"/>
              </w:rPr>
            </w:pPr>
          </w:p>
        </w:tc>
      </w:tr>
      <w:tr w14:paraId="3FB680D4">
        <w:tblPrEx>
          <w:shd w:val="clear" w:color="auto" w:fill="auto"/>
          <w:tblCellMar>
            <w:top w:w="0" w:type="dxa"/>
            <w:left w:w="0" w:type="dxa"/>
            <w:bottom w:w="0" w:type="dxa"/>
            <w:right w:w="0" w:type="dxa"/>
          </w:tblCellMar>
        </w:tblPrEx>
        <w:trPr>
          <w:trHeight w:val="319" w:hRule="atLeast"/>
        </w:trPr>
        <w:tc>
          <w:tcPr>
            <w:tcW w:w="57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1621E34">
            <w:pPr>
              <w:jc w:val="center"/>
              <w:rPr>
                <w:rFonts w:hint="eastAsia" w:ascii="宋体" w:hAnsi="宋体" w:eastAsia="宋体" w:cs="宋体"/>
                <w:i w:val="0"/>
                <w:color w:val="000000"/>
                <w:sz w:val="20"/>
                <w:szCs w:val="20"/>
                <w:u w:val="none"/>
              </w:rPr>
            </w:pPr>
          </w:p>
        </w:tc>
        <w:tc>
          <w:tcPr>
            <w:tcW w:w="46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0BD89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1B3D1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01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D7D68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诉讼单位数量</w:t>
            </w:r>
          </w:p>
        </w:tc>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320EC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5家</w:t>
            </w:r>
          </w:p>
        </w:tc>
        <w:tc>
          <w:tcPr>
            <w:tcW w:w="7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B47E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5家</w:t>
            </w:r>
          </w:p>
        </w:tc>
        <w:tc>
          <w:tcPr>
            <w:tcW w:w="7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992FF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E23D4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DBE5C9">
            <w:pPr>
              <w:jc w:val="center"/>
              <w:rPr>
                <w:rFonts w:hint="eastAsia" w:ascii="宋体" w:hAnsi="宋体" w:eastAsia="宋体" w:cs="宋体"/>
                <w:i w:val="0"/>
                <w:color w:val="000000"/>
                <w:sz w:val="20"/>
                <w:szCs w:val="20"/>
                <w:u w:val="none"/>
              </w:rPr>
            </w:pPr>
          </w:p>
        </w:tc>
      </w:tr>
      <w:tr w14:paraId="44A9153A">
        <w:tblPrEx>
          <w:shd w:val="clear" w:color="auto" w:fill="auto"/>
          <w:tblCellMar>
            <w:top w:w="0" w:type="dxa"/>
            <w:left w:w="0" w:type="dxa"/>
            <w:bottom w:w="0" w:type="dxa"/>
            <w:right w:w="0" w:type="dxa"/>
          </w:tblCellMar>
        </w:tblPrEx>
        <w:trPr>
          <w:trHeight w:val="319" w:hRule="atLeast"/>
        </w:trPr>
        <w:tc>
          <w:tcPr>
            <w:tcW w:w="57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8294149">
            <w:pPr>
              <w:jc w:val="center"/>
              <w:rPr>
                <w:rFonts w:hint="eastAsia" w:ascii="宋体" w:hAnsi="宋体" w:eastAsia="宋体" w:cs="宋体"/>
                <w:i w:val="0"/>
                <w:color w:val="000000"/>
                <w:sz w:val="20"/>
                <w:szCs w:val="20"/>
                <w:u w:val="none"/>
              </w:rPr>
            </w:pPr>
          </w:p>
        </w:tc>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5F8448">
            <w:pPr>
              <w:jc w:val="center"/>
              <w:rPr>
                <w:rFonts w:hint="eastAsia" w:ascii="宋体" w:hAnsi="宋体" w:eastAsia="宋体" w:cs="宋体"/>
                <w:i w:val="0"/>
                <w:color w:val="000000"/>
                <w:sz w:val="20"/>
                <w:szCs w:val="20"/>
                <w:u w:val="none"/>
              </w:rPr>
            </w:pP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31AB6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201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663CE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资金保障率</w:t>
            </w:r>
          </w:p>
        </w:tc>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5F18D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7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2F1A8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7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7232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1829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3C6C7B">
            <w:pPr>
              <w:jc w:val="center"/>
              <w:rPr>
                <w:rFonts w:hint="eastAsia" w:ascii="宋体" w:hAnsi="宋体" w:eastAsia="宋体" w:cs="宋体"/>
                <w:i w:val="0"/>
                <w:color w:val="000000"/>
                <w:sz w:val="20"/>
                <w:szCs w:val="20"/>
                <w:u w:val="none"/>
              </w:rPr>
            </w:pPr>
          </w:p>
        </w:tc>
      </w:tr>
      <w:tr w14:paraId="1572EEAE">
        <w:tblPrEx>
          <w:shd w:val="clear" w:color="auto" w:fill="auto"/>
          <w:tblCellMar>
            <w:top w:w="0" w:type="dxa"/>
            <w:left w:w="0" w:type="dxa"/>
            <w:bottom w:w="0" w:type="dxa"/>
            <w:right w:w="0" w:type="dxa"/>
          </w:tblCellMar>
        </w:tblPrEx>
        <w:trPr>
          <w:trHeight w:val="319" w:hRule="atLeast"/>
        </w:trPr>
        <w:tc>
          <w:tcPr>
            <w:tcW w:w="57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6DD6669">
            <w:pPr>
              <w:jc w:val="center"/>
              <w:rPr>
                <w:rFonts w:hint="eastAsia" w:ascii="宋体" w:hAnsi="宋体" w:eastAsia="宋体" w:cs="宋体"/>
                <w:i w:val="0"/>
                <w:color w:val="000000"/>
                <w:sz w:val="20"/>
                <w:szCs w:val="20"/>
                <w:u w:val="none"/>
              </w:rPr>
            </w:pPr>
          </w:p>
        </w:tc>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9EC497">
            <w:pPr>
              <w:jc w:val="center"/>
              <w:rPr>
                <w:rFonts w:hint="eastAsia" w:ascii="宋体" w:hAnsi="宋体" w:eastAsia="宋体" w:cs="宋体"/>
                <w:i w:val="0"/>
                <w:color w:val="000000"/>
                <w:sz w:val="20"/>
                <w:szCs w:val="20"/>
                <w:u w:val="none"/>
              </w:rPr>
            </w:pP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FA74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201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4E5BD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诉讼费及时支付率</w:t>
            </w:r>
          </w:p>
        </w:tc>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C5067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7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95F5B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7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8874A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6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567C8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3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0CB2A8">
            <w:pPr>
              <w:jc w:val="center"/>
              <w:rPr>
                <w:rFonts w:hint="eastAsia" w:ascii="宋体" w:hAnsi="宋体" w:eastAsia="宋体" w:cs="宋体"/>
                <w:i w:val="0"/>
                <w:color w:val="000000"/>
                <w:sz w:val="20"/>
                <w:szCs w:val="20"/>
                <w:u w:val="none"/>
              </w:rPr>
            </w:pPr>
          </w:p>
        </w:tc>
      </w:tr>
      <w:tr w14:paraId="76EAC6E0">
        <w:tblPrEx>
          <w:shd w:val="clear" w:color="auto" w:fill="auto"/>
          <w:tblCellMar>
            <w:top w:w="0" w:type="dxa"/>
            <w:left w:w="0" w:type="dxa"/>
            <w:bottom w:w="0" w:type="dxa"/>
            <w:right w:w="0" w:type="dxa"/>
          </w:tblCellMar>
        </w:tblPrEx>
        <w:trPr>
          <w:trHeight w:val="319" w:hRule="atLeast"/>
        </w:trPr>
        <w:tc>
          <w:tcPr>
            <w:tcW w:w="57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8D43C80">
            <w:pPr>
              <w:jc w:val="center"/>
              <w:rPr>
                <w:rFonts w:hint="eastAsia" w:ascii="宋体" w:hAnsi="宋体" w:eastAsia="宋体" w:cs="宋体"/>
                <w:i w:val="0"/>
                <w:color w:val="000000"/>
                <w:sz w:val="20"/>
                <w:szCs w:val="20"/>
                <w:u w:val="none"/>
              </w:rPr>
            </w:pPr>
          </w:p>
        </w:tc>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A0AB2E">
            <w:pPr>
              <w:jc w:val="center"/>
              <w:rPr>
                <w:rFonts w:hint="eastAsia" w:ascii="宋体" w:hAnsi="宋体" w:eastAsia="宋体" w:cs="宋体"/>
                <w:i w:val="0"/>
                <w:color w:val="000000"/>
                <w:sz w:val="20"/>
                <w:szCs w:val="20"/>
                <w:u w:val="none"/>
              </w:rPr>
            </w:pPr>
          </w:p>
        </w:tc>
        <w:tc>
          <w:tcPr>
            <w:tcW w:w="81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94531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201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AFD4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吉木萨尔县环宝再生资源有限责任公司</w:t>
            </w:r>
          </w:p>
        </w:tc>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E7AA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2万</w:t>
            </w:r>
          </w:p>
        </w:tc>
        <w:tc>
          <w:tcPr>
            <w:tcW w:w="7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C59F4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2万</w:t>
            </w:r>
          </w:p>
        </w:tc>
        <w:tc>
          <w:tcPr>
            <w:tcW w:w="7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C39CE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2C23A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9BF659">
            <w:pPr>
              <w:jc w:val="center"/>
              <w:rPr>
                <w:rFonts w:hint="eastAsia" w:ascii="宋体" w:hAnsi="宋体" w:eastAsia="宋体" w:cs="宋体"/>
                <w:i w:val="0"/>
                <w:color w:val="000000"/>
                <w:sz w:val="20"/>
                <w:szCs w:val="20"/>
                <w:u w:val="none"/>
              </w:rPr>
            </w:pPr>
          </w:p>
        </w:tc>
      </w:tr>
      <w:tr w14:paraId="65D21737">
        <w:tblPrEx>
          <w:shd w:val="clear" w:color="auto" w:fill="auto"/>
          <w:tblCellMar>
            <w:top w:w="0" w:type="dxa"/>
            <w:left w:w="0" w:type="dxa"/>
            <w:bottom w:w="0" w:type="dxa"/>
            <w:right w:w="0" w:type="dxa"/>
          </w:tblCellMar>
        </w:tblPrEx>
        <w:trPr>
          <w:trHeight w:val="319" w:hRule="atLeast"/>
        </w:trPr>
        <w:tc>
          <w:tcPr>
            <w:tcW w:w="57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492DF02">
            <w:pPr>
              <w:jc w:val="center"/>
              <w:rPr>
                <w:rFonts w:hint="eastAsia" w:ascii="宋体" w:hAnsi="宋体" w:eastAsia="宋体" w:cs="宋体"/>
                <w:i w:val="0"/>
                <w:color w:val="000000"/>
                <w:sz w:val="20"/>
                <w:szCs w:val="20"/>
                <w:u w:val="none"/>
              </w:rPr>
            </w:pPr>
          </w:p>
        </w:tc>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FE35B5">
            <w:pPr>
              <w:jc w:val="center"/>
              <w:rPr>
                <w:rFonts w:hint="eastAsia" w:ascii="宋体" w:hAnsi="宋体" w:eastAsia="宋体" w:cs="宋体"/>
                <w:i w:val="0"/>
                <w:color w:val="000000"/>
                <w:sz w:val="20"/>
                <w:szCs w:val="20"/>
                <w:u w:val="none"/>
              </w:rPr>
            </w:pPr>
          </w:p>
        </w:tc>
        <w:tc>
          <w:tcPr>
            <w:tcW w:w="8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D37BC7">
            <w:pPr>
              <w:jc w:val="center"/>
              <w:rPr>
                <w:rFonts w:hint="eastAsia" w:ascii="宋体" w:hAnsi="宋体" w:eastAsia="宋体" w:cs="宋体"/>
                <w:i w:val="0"/>
                <w:color w:val="000000"/>
                <w:sz w:val="20"/>
                <w:szCs w:val="20"/>
                <w:u w:val="none"/>
              </w:rPr>
            </w:pPr>
          </w:p>
        </w:tc>
        <w:tc>
          <w:tcPr>
            <w:tcW w:w="201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CDD6C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吉木萨尔县鑫盛达房地产开发有限公司</w:t>
            </w:r>
          </w:p>
        </w:tc>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2E64B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4万</w:t>
            </w:r>
          </w:p>
        </w:tc>
        <w:tc>
          <w:tcPr>
            <w:tcW w:w="7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518B6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4万</w:t>
            </w:r>
          </w:p>
        </w:tc>
        <w:tc>
          <w:tcPr>
            <w:tcW w:w="7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538DE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E030D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6C3805">
            <w:pPr>
              <w:jc w:val="center"/>
              <w:rPr>
                <w:rFonts w:hint="eastAsia" w:ascii="宋体" w:hAnsi="宋体" w:eastAsia="宋体" w:cs="宋体"/>
                <w:i w:val="0"/>
                <w:color w:val="000000"/>
                <w:sz w:val="20"/>
                <w:szCs w:val="20"/>
                <w:u w:val="none"/>
              </w:rPr>
            </w:pPr>
          </w:p>
        </w:tc>
      </w:tr>
      <w:tr w14:paraId="2F08CCB3">
        <w:tblPrEx>
          <w:shd w:val="clear" w:color="auto" w:fill="auto"/>
          <w:tblCellMar>
            <w:top w:w="0" w:type="dxa"/>
            <w:left w:w="0" w:type="dxa"/>
            <w:bottom w:w="0" w:type="dxa"/>
            <w:right w:w="0" w:type="dxa"/>
          </w:tblCellMar>
        </w:tblPrEx>
        <w:trPr>
          <w:trHeight w:val="319" w:hRule="atLeast"/>
        </w:trPr>
        <w:tc>
          <w:tcPr>
            <w:tcW w:w="57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9722A72">
            <w:pPr>
              <w:jc w:val="center"/>
              <w:rPr>
                <w:rFonts w:hint="eastAsia" w:ascii="宋体" w:hAnsi="宋体" w:eastAsia="宋体" w:cs="宋体"/>
                <w:i w:val="0"/>
                <w:color w:val="000000"/>
                <w:sz w:val="20"/>
                <w:szCs w:val="20"/>
                <w:u w:val="none"/>
              </w:rPr>
            </w:pPr>
          </w:p>
        </w:tc>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CEA245">
            <w:pPr>
              <w:jc w:val="center"/>
              <w:rPr>
                <w:rFonts w:hint="eastAsia" w:ascii="宋体" w:hAnsi="宋体" w:eastAsia="宋体" w:cs="宋体"/>
                <w:i w:val="0"/>
                <w:color w:val="000000"/>
                <w:sz w:val="20"/>
                <w:szCs w:val="20"/>
                <w:u w:val="none"/>
              </w:rPr>
            </w:pPr>
          </w:p>
        </w:tc>
        <w:tc>
          <w:tcPr>
            <w:tcW w:w="8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01A265">
            <w:pPr>
              <w:jc w:val="center"/>
              <w:rPr>
                <w:rFonts w:hint="eastAsia" w:ascii="宋体" w:hAnsi="宋体" w:eastAsia="宋体" w:cs="宋体"/>
                <w:i w:val="0"/>
                <w:color w:val="000000"/>
                <w:sz w:val="20"/>
                <w:szCs w:val="20"/>
                <w:u w:val="none"/>
              </w:rPr>
            </w:pPr>
          </w:p>
        </w:tc>
        <w:tc>
          <w:tcPr>
            <w:tcW w:w="201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D5B2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新疆弘兴伟业房地产开发有限公司</w:t>
            </w:r>
          </w:p>
        </w:tc>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31EF2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3万</w:t>
            </w:r>
          </w:p>
        </w:tc>
        <w:tc>
          <w:tcPr>
            <w:tcW w:w="7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EB6F4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3万</w:t>
            </w:r>
          </w:p>
        </w:tc>
        <w:tc>
          <w:tcPr>
            <w:tcW w:w="7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65BCF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33A53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04032E">
            <w:pPr>
              <w:jc w:val="center"/>
              <w:rPr>
                <w:rFonts w:hint="eastAsia" w:ascii="宋体" w:hAnsi="宋体" w:eastAsia="宋体" w:cs="宋体"/>
                <w:i w:val="0"/>
                <w:color w:val="000000"/>
                <w:sz w:val="20"/>
                <w:szCs w:val="20"/>
                <w:u w:val="none"/>
              </w:rPr>
            </w:pPr>
          </w:p>
        </w:tc>
      </w:tr>
      <w:tr w14:paraId="6933CFC1">
        <w:tblPrEx>
          <w:shd w:val="clear" w:color="auto" w:fill="auto"/>
          <w:tblCellMar>
            <w:top w:w="0" w:type="dxa"/>
            <w:left w:w="0" w:type="dxa"/>
            <w:bottom w:w="0" w:type="dxa"/>
            <w:right w:w="0" w:type="dxa"/>
          </w:tblCellMar>
        </w:tblPrEx>
        <w:trPr>
          <w:trHeight w:val="319" w:hRule="atLeast"/>
        </w:trPr>
        <w:tc>
          <w:tcPr>
            <w:tcW w:w="57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ED03291">
            <w:pPr>
              <w:jc w:val="center"/>
              <w:rPr>
                <w:rFonts w:hint="eastAsia" w:ascii="宋体" w:hAnsi="宋体" w:eastAsia="宋体" w:cs="宋体"/>
                <w:i w:val="0"/>
                <w:color w:val="000000"/>
                <w:sz w:val="20"/>
                <w:szCs w:val="20"/>
                <w:u w:val="none"/>
              </w:rPr>
            </w:pPr>
          </w:p>
        </w:tc>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FDBC51">
            <w:pPr>
              <w:jc w:val="center"/>
              <w:rPr>
                <w:rFonts w:hint="eastAsia" w:ascii="宋体" w:hAnsi="宋体" w:eastAsia="宋体" w:cs="宋体"/>
                <w:i w:val="0"/>
                <w:color w:val="000000"/>
                <w:sz w:val="20"/>
                <w:szCs w:val="20"/>
                <w:u w:val="none"/>
              </w:rPr>
            </w:pPr>
          </w:p>
        </w:tc>
        <w:tc>
          <w:tcPr>
            <w:tcW w:w="8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D61C08">
            <w:pPr>
              <w:jc w:val="center"/>
              <w:rPr>
                <w:rFonts w:hint="eastAsia" w:ascii="宋体" w:hAnsi="宋体" w:eastAsia="宋体" w:cs="宋体"/>
                <w:i w:val="0"/>
                <w:color w:val="000000"/>
                <w:sz w:val="20"/>
                <w:szCs w:val="20"/>
                <w:u w:val="none"/>
              </w:rPr>
            </w:pPr>
          </w:p>
        </w:tc>
        <w:tc>
          <w:tcPr>
            <w:tcW w:w="201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9BA1A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新疆北庭盛业农业科技发展有限责任公司</w:t>
            </w:r>
          </w:p>
        </w:tc>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64AE6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4万</w:t>
            </w:r>
          </w:p>
        </w:tc>
        <w:tc>
          <w:tcPr>
            <w:tcW w:w="7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F8FA6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4万</w:t>
            </w:r>
          </w:p>
        </w:tc>
        <w:tc>
          <w:tcPr>
            <w:tcW w:w="7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0CA25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1B0A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0D4642">
            <w:pPr>
              <w:jc w:val="center"/>
              <w:rPr>
                <w:rFonts w:hint="eastAsia" w:ascii="宋体" w:hAnsi="宋体" w:eastAsia="宋体" w:cs="宋体"/>
                <w:i w:val="0"/>
                <w:color w:val="000000"/>
                <w:sz w:val="20"/>
                <w:szCs w:val="20"/>
                <w:u w:val="none"/>
              </w:rPr>
            </w:pPr>
          </w:p>
        </w:tc>
      </w:tr>
      <w:tr w14:paraId="38B6004F">
        <w:tblPrEx>
          <w:shd w:val="clear" w:color="auto" w:fill="auto"/>
          <w:tblCellMar>
            <w:top w:w="0" w:type="dxa"/>
            <w:left w:w="0" w:type="dxa"/>
            <w:bottom w:w="0" w:type="dxa"/>
            <w:right w:w="0" w:type="dxa"/>
          </w:tblCellMar>
        </w:tblPrEx>
        <w:trPr>
          <w:trHeight w:val="319" w:hRule="atLeast"/>
        </w:trPr>
        <w:tc>
          <w:tcPr>
            <w:tcW w:w="57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9AA6436">
            <w:pPr>
              <w:jc w:val="center"/>
              <w:rPr>
                <w:rFonts w:hint="eastAsia" w:ascii="宋体" w:hAnsi="宋体" w:eastAsia="宋体" w:cs="宋体"/>
                <w:i w:val="0"/>
                <w:color w:val="000000"/>
                <w:sz w:val="20"/>
                <w:szCs w:val="20"/>
                <w:u w:val="none"/>
              </w:rPr>
            </w:pPr>
          </w:p>
        </w:tc>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F81862">
            <w:pPr>
              <w:jc w:val="center"/>
              <w:rPr>
                <w:rFonts w:hint="eastAsia" w:ascii="宋体" w:hAnsi="宋体" w:eastAsia="宋体" w:cs="宋体"/>
                <w:i w:val="0"/>
                <w:color w:val="000000"/>
                <w:sz w:val="20"/>
                <w:szCs w:val="20"/>
                <w:u w:val="none"/>
              </w:rPr>
            </w:pPr>
          </w:p>
        </w:tc>
        <w:tc>
          <w:tcPr>
            <w:tcW w:w="8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5CF5E">
            <w:pPr>
              <w:jc w:val="center"/>
              <w:rPr>
                <w:rFonts w:hint="eastAsia" w:ascii="宋体" w:hAnsi="宋体" w:eastAsia="宋体" w:cs="宋体"/>
                <w:i w:val="0"/>
                <w:color w:val="000000"/>
                <w:sz w:val="20"/>
                <w:szCs w:val="20"/>
                <w:u w:val="none"/>
              </w:rPr>
            </w:pPr>
          </w:p>
        </w:tc>
        <w:tc>
          <w:tcPr>
            <w:tcW w:w="201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CABE5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新疆盛腾投资有限公司</w:t>
            </w:r>
          </w:p>
        </w:tc>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4356D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17万</w:t>
            </w:r>
          </w:p>
        </w:tc>
        <w:tc>
          <w:tcPr>
            <w:tcW w:w="7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54AD8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17万</w:t>
            </w:r>
          </w:p>
        </w:tc>
        <w:tc>
          <w:tcPr>
            <w:tcW w:w="7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369CF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6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4676D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3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BB6C6">
            <w:pPr>
              <w:jc w:val="center"/>
              <w:rPr>
                <w:rFonts w:hint="eastAsia" w:ascii="宋体" w:hAnsi="宋体" w:eastAsia="宋体" w:cs="宋体"/>
                <w:i w:val="0"/>
                <w:color w:val="000000"/>
                <w:sz w:val="20"/>
                <w:szCs w:val="20"/>
                <w:u w:val="none"/>
              </w:rPr>
            </w:pPr>
          </w:p>
        </w:tc>
      </w:tr>
      <w:tr w14:paraId="02197D87">
        <w:tblPrEx>
          <w:shd w:val="clear" w:color="auto" w:fill="auto"/>
          <w:tblCellMar>
            <w:top w:w="0" w:type="dxa"/>
            <w:left w:w="0" w:type="dxa"/>
            <w:bottom w:w="0" w:type="dxa"/>
            <w:right w:w="0" w:type="dxa"/>
          </w:tblCellMar>
        </w:tblPrEx>
        <w:trPr>
          <w:trHeight w:val="319" w:hRule="atLeast"/>
        </w:trPr>
        <w:tc>
          <w:tcPr>
            <w:tcW w:w="57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68174C0">
            <w:pPr>
              <w:jc w:val="center"/>
              <w:rPr>
                <w:rFonts w:hint="eastAsia" w:ascii="宋体" w:hAnsi="宋体" w:eastAsia="宋体" w:cs="宋体"/>
                <w:i w:val="0"/>
                <w:color w:val="000000"/>
                <w:sz w:val="20"/>
                <w:szCs w:val="20"/>
                <w:u w:val="none"/>
              </w:rPr>
            </w:pPr>
          </w:p>
        </w:tc>
        <w:tc>
          <w:tcPr>
            <w:tcW w:w="46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5B751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81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597000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经济效益指标</w:t>
            </w:r>
          </w:p>
        </w:tc>
        <w:tc>
          <w:tcPr>
            <w:tcW w:w="201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55FDE">
            <w:pPr>
              <w:jc w:val="left"/>
              <w:rPr>
                <w:rFonts w:hint="eastAsia" w:ascii="宋体" w:hAnsi="宋体" w:eastAsia="宋体" w:cs="宋体"/>
                <w:i w:val="0"/>
                <w:color w:val="000000"/>
                <w:sz w:val="20"/>
                <w:szCs w:val="20"/>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CD7AB0">
            <w:pPr>
              <w:jc w:val="center"/>
              <w:rPr>
                <w:rFonts w:hint="eastAsia" w:ascii="宋体" w:hAnsi="宋体" w:eastAsia="宋体" w:cs="宋体"/>
                <w:i w:val="0"/>
                <w:color w:val="000000"/>
                <w:sz w:val="20"/>
                <w:szCs w:val="20"/>
                <w:u w:val="none"/>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36C73B">
            <w:pPr>
              <w:jc w:val="center"/>
              <w:rPr>
                <w:rFonts w:hint="eastAsia" w:ascii="宋体" w:hAnsi="宋体" w:eastAsia="宋体" w:cs="宋体"/>
                <w:i w:val="0"/>
                <w:color w:val="000000"/>
                <w:sz w:val="20"/>
                <w:szCs w:val="20"/>
                <w:u w:val="none"/>
              </w:rPr>
            </w:pPr>
          </w:p>
        </w:tc>
        <w:tc>
          <w:tcPr>
            <w:tcW w:w="7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BAF37B">
            <w:pPr>
              <w:jc w:val="center"/>
              <w:rPr>
                <w:rFonts w:hint="eastAsia" w:ascii="宋体" w:hAnsi="宋体" w:eastAsia="宋体" w:cs="宋体"/>
                <w:i w:val="0"/>
                <w:color w:val="000000"/>
                <w:sz w:val="20"/>
                <w:szCs w:val="20"/>
                <w:u w:val="none"/>
              </w:rPr>
            </w:pPr>
          </w:p>
        </w:tc>
        <w:tc>
          <w:tcPr>
            <w:tcW w:w="6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0C347E">
            <w:pPr>
              <w:jc w:val="center"/>
              <w:rPr>
                <w:rFonts w:hint="eastAsia" w:ascii="宋体" w:hAnsi="宋体" w:eastAsia="宋体" w:cs="宋体"/>
                <w:i w:val="0"/>
                <w:color w:val="000000"/>
                <w:sz w:val="20"/>
                <w:szCs w:val="20"/>
                <w:u w:val="none"/>
              </w:rPr>
            </w:pPr>
          </w:p>
        </w:tc>
        <w:tc>
          <w:tcPr>
            <w:tcW w:w="13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066A2">
            <w:pPr>
              <w:jc w:val="center"/>
              <w:rPr>
                <w:rFonts w:hint="eastAsia" w:ascii="宋体" w:hAnsi="宋体" w:eastAsia="宋体" w:cs="宋体"/>
                <w:i w:val="0"/>
                <w:color w:val="000000"/>
                <w:sz w:val="20"/>
                <w:szCs w:val="20"/>
                <w:u w:val="none"/>
              </w:rPr>
            </w:pPr>
          </w:p>
        </w:tc>
      </w:tr>
      <w:tr w14:paraId="5212D81C">
        <w:tblPrEx>
          <w:shd w:val="clear" w:color="auto" w:fill="auto"/>
          <w:tblCellMar>
            <w:top w:w="0" w:type="dxa"/>
            <w:left w:w="0" w:type="dxa"/>
            <w:bottom w:w="0" w:type="dxa"/>
            <w:right w:w="0" w:type="dxa"/>
          </w:tblCellMar>
        </w:tblPrEx>
        <w:trPr>
          <w:trHeight w:val="319" w:hRule="atLeast"/>
        </w:trPr>
        <w:tc>
          <w:tcPr>
            <w:tcW w:w="57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0444513">
            <w:pPr>
              <w:jc w:val="center"/>
              <w:rPr>
                <w:rFonts w:hint="eastAsia" w:ascii="宋体" w:hAnsi="宋体" w:eastAsia="宋体" w:cs="宋体"/>
                <w:i w:val="0"/>
                <w:color w:val="000000"/>
                <w:sz w:val="20"/>
                <w:szCs w:val="20"/>
                <w:u w:val="none"/>
              </w:rPr>
            </w:pPr>
          </w:p>
        </w:tc>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07A59">
            <w:pPr>
              <w:jc w:val="center"/>
              <w:rPr>
                <w:rFonts w:hint="eastAsia" w:ascii="宋体" w:hAnsi="宋体" w:eastAsia="宋体" w:cs="宋体"/>
                <w:i w:val="0"/>
                <w:color w:val="000000"/>
                <w:sz w:val="20"/>
                <w:szCs w:val="20"/>
                <w:u w:val="none"/>
              </w:rPr>
            </w:pPr>
          </w:p>
        </w:tc>
        <w:tc>
          <w:tcPr>
            <w:tcW w:w="81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9A2DD4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201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B0599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有效提高办事效率</w:t>
            </w:r>
          </w:p>
        </w:tc>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75079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有效提高</w:t>
            </w:r>
          </w:p>
        </w:tc>
        <w:tc>
          <w:tcPr>
            <w:tcW w:w="7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110E4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有效提高</w:t>
            </w:r>
          </w:p>
        </w:tc>
        <w:tc>
          <w:tcPr>
            <w:tcW w:w="7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1BF0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w:t>
            </w:r>
          </w:p>
        </w:tc>
        <w:tc>
          <w:tcPr>
            <w:tcW w:w="6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12092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w:t>
            </w:r>
          </w:p>
        </w:tc>
        <w:tc>
          <w:tcPr>
            <w:tcW w:w="13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7CE495">
            <w:pPr>
              <w:jc w:val="center"/>
              <w:rPr>
                <w:rFonts w:hint="eastAsia" w:ascii="宋体" w:hAnsi="宋体" w:eastAsia="宋体" w:cs="宋体"/>
                <w:i w:val="0"/>
                <w:color w:val="000000"/>
                <w:sz w:val="20"/>
                <w:szCs w:val="20"/>
                <w:u w:val="none"/>
              </w:rPr>
            </w:pPr>
          </w:p>
        </w:tc>
      </w:tr>
      <w:tr w14:paraId="657106C6">
        <w:tblPrEx>
          <w:shd w:val="clear" w:color="auto" w:fill="auto"/>
          <w:tblCellMar>
            <w:top w:w="0" w:type="dxa"/>
            <w:left w:w="0" w:type="dxa"/>
            <w:bottom w:w="0" w:type="dxa"/>
            <w:right w:w="0" w:type="dxa"/>
          </w:tblCellMar>
        </w:tblPrEx>
        <w:trPr>
          <w:trHeight w:val="319" w:hRule="atLeast"/>
        </w:trPr>
        <w:tc>
          <w:tcPr>
            <w:tcW w:w="57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B1C6A5A">
            <w:pPr>
              <w:jc w:val="center"/>
              <w:rPr>
                <w:rFonts w:hint="eastAsia" w:ascii="宋体" w:hAnsi="宋体" w:eastAsia="宋体" w:cs="宋体"/>
                <w:i w:val="0"/>
                <w:color w:val="000000"/>
                <w:sz w:val="20"/>
                <w:szCs w:val="20"/>
                <w:u w:val="none"/>
              </w:rPr>
            </w:pPr>
          </w:p>
        </w:tc>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27594">
            <w:pPr>
              <w:jc w:val="center"/>
              <w:rPr>
                <w:rFonts w:hint="eastAsia" w:ascii="宋体" w:hAnsi="宋体" w:eastAsia="宋体" w:cs="宋体"/>
                <w:i w:val="0"/>
                <w:color w:val="000000"/>
                <w:sz w:val="20"/>
                <w:szCs w:val="20"/>
                <w:u w:val="none"/>
              </w:rPr>
            </w:pPr>
          </w:p>
        </w:tc>
        <w:tc>
          <w:tcPr>
            <w:tcW w:w="81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327965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生态效益指标</w:t>
            </w:r>
          </w:p>
        </w:tc>
        <w:tc>
          <w:tcPr>
            <w:tcW w:w="201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13D038">
            <w:pPr>
              <w:jc w:val="left"/>
              <w:rPr>
                <w:rFonts w:hint="eastAsia" w:ascii="宋体" w:hAnsi="宋体" w:eastAsia="宋体" w:cs="宋体"/>
                <w:i w:val="0"/>
                <w:color w:val="000000"/>
                <w:sz w:val="20"/>
                <w:szCs w:val="20"/>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2E3F5A">
            <w:pPr>
              <w:jc w:val="center"/>
              <w:rPr>
                <w:rFonts w:hint="eastAsia" w:ascii="宋体" w:hAnsi="宋体" w:eastAsia="宋体" w:cs="宋体"/>
                <w:i w:val="0"/>
                <w:color w:val="000000"/>
                <w:sz w:val="20"/>
                <w:szCs w:val="20"/>
                <w:u w:val="none"/>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556743">
            <w:pPr>
              <w:jc w:val="center"/>
              <w:rPr>
                <w:rFonts w:hint="eastAsia" w:ascii="宋体" w:hAnsi="宋体" w:eastAsia="宋体" w:cs="宋体"/>
                <w:i w:val="0"/>
                <w:color w:val="000000"/>
                <w:sz w:val="20"/>
                <w:szCs w:val="20"/>
                <w:u w:val="none"/>
              </w:rPr>
            </w:pPr>
          </w:p>
        </w:tc>
        <w:tc>
          <w:tcPr>
            <w:tcW w:w="7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F1E2BB">
            <w:pPr>
              <w:jc w:val="center"/>
              <w:rPr>
                <w:rFonts w:hint="eastAsia" w:ascii="宋体" w:hAnsi="宋体" w:eastAsia="宋体" w:cs="宋体"/>
                <w:i w:val="0"/>
                <w:color w:val="000000"/>
                <w:sz w:val="20"/>
                <w:szCs w:val="20"/>
                <w:u w:val="none"/>
              </w:rPr>
            </w:pPr>
          </w:p>
        </w:tc>
        <w:tc>
          <w:tcPr>
            <w:tcW w:w="6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4A7E3A">
            <w:pPr>
              <w:jc w:val="center"/>
              <w:rPr>
                <w:rFonts w:hint="eastAsia" w:ascii="宋体" w:hAnsi="宋体" w:eastAsia="宋体" w:cs="宋体"/>
                <w:i w:val="0"/>
                <w:color w:val="000000"/>
                <w:sz w:val="20"/>
                <w:szCs w:val="20"/>
                <w:u w:val="none"/>
              </w:rPr>
            </w:pPr>
          </w:p>
        </w:tc>
        <w:tc>
          <w:tcPr>
            <w:tcW w:w="13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E2FA34">
            <w:pPr>
              <w:jc w:val="center"/>
              <w:rPr>
                <w:rFonts w:hint="eastAsia" w:ascii="宋体" w:hAnsi="宋体" w:eastAsia="宋体" w:cs="宋体"/>
                <w:i w:val="0"/>
                <w:color w:val="000000"/>
                <w:sz w:val="20"/>
                <w:szCs w:val="20"/>
                <w:u w:val="none"/>
              </w:rPr>
            </w:pPr>
          </w:p>
        </w:tc>
      </w:tr>
      <w:tr w14:paraId="058519D3">
        <w:tblPrEx>
          <w:shd w:val="clear" w:color="auto" w:fill="auto"/>
          <w:tblCellMar>
            <w:top w:w="0" w:type="dxa"/>
            <w:left w:w="0" w:type="dxa"/>
            <w:bottom w:w="0" w:type="dxa"/>
            <w:right w:w="0" w:type="dxa"/>
          </w:tblCellMar>
        </w:tblPrEx>
        <w:trPr>
          <w:trHeight w:val="319" w:hRule="atLeast"/>
        </w:trPr>
        <w:tc>
          <w:tcPr>
            <w:tcW w:w="57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76D18FF">
            <w:pPr>
              <w:jc w:val="center"/>
              <w:rPr>
                <w:rFonts w:hint="eastAsia" w:ascii="宋体" w:hAnsi="宋体" w:eastAsia="宋体" w:cs="宋体"/>
                <w:i w:val="0"/>
                <w:color w:val="000000"/>
                <w:sz w:val="20"/>
                <w:szCs w:val="20"/>
                <w:u w:val="none"/>
              </w:rPr>
            </w:pPr>
          </w:p>
        </w:tc>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9D09A">
            <w:pPr>
              <w:jc w:val="center"/>
              <w:rPr>
                <w:rFonts w:hint="eastAsia" w:ascii="宋体" w:hAnsi="宋体" w:eastAsia="宋体" w:cs="宋体"/>
                <w:i w:val="0"/>
                <w:color w:val="000000"/>
                <w:sz w:val="20"/>
                <w:szCs w:val="20"/>
                <w:u w:val="none"/>
              </w:rPr>
            </w:pP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80CF4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可持续影响指标</w:t>
            </w:r>
          </w:p>
        </w:tc>
        <w:tc>
          <w:tcPr>
            <w:tcW w:w="201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0CDFC1">
            <w:pPr>
              <w:jc w:val="left"/>
              <w:rPr>
                <w:rFonts w:hint="eastAsia" w:ascii="宋体" w:hAnsi="宋体" w:eastAsia="宋体" w:cs="宋体"/>
                <w:i w:val="0"/>
                <w:color w:val="000000"/>
                <w:sz w:val="20"/>
                <w:szCs w:val="20"/>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A3127E">
            <w:pPr>
              <w:jc w:val="center"/>
              <w:rPr>
                <w:rFonts w:hint="eastAsia" w:ascii="宋体" w:hAnsi="宋体" w:eastAsia="宋体" w:cs="宋体"/>
                <w:i w:val="0"/>
                <w:color w:val="000000"/>
                <w:sz w:val="20"/>
                <w:szCs w:val="20"/>
                <w:u w:val="none"/>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6619B9">
            <w:pPr>
              <w:jc w:val="center"/>
              <w:rPr>
                <w:rFonts w:hint="eastAsia" w:ascii="宋体" w:hAnsi="宋体" w:eastAsia="宋体" w:cs="宋体"/>
                <w:i w:val="0"/>
                <w:color w:val="000000"/>
                <w:sz w:val="20"/>
                <w:szCs w:val="20"/>
                <w:u w:val="none"/>
              </w:rPr>
            </w:pPr>
          </w:p>
        </w:tc>
        <w:tc>
          <w:tcPr>
            <w:tcW w:w="7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2B3F2B">
            <w:pPr>
              <w:jc w:val="center"/>
              <w:rPr>
                <w:rFonts w:hint="eastAsia" w:ascii="宋体" w:hAnsi="宋体" w:eastAsia="宋体" w:cs="宋体"/>
                <w:i w:val="0"/>
                <w:color w:val="000000"/>
                <w:sz w:val="20"/>
                <w:szCs w:val="20"/>
                <w:u w:val="none"/>
              </w:rPr>
            </w:pPr>
          </w:p>
        </w:tc>
        <w:tc>
          <w:tcPr>
            <w:tcW w:w="6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3E902F">
            <w:pPr>
              <w:jc w:val="center"/>
              <w:rPr>
                <w:rFonts w:hint="eastAsia" w:ascii="宋体" w:hAnsi="宋体" w:eastAsia="宋体" w:cs="宋体"/>
                <w:i w:val="0"/>
                <w:color w:val="000000"/>
                <w:sz w:val="20"/>
                <w:szCs w:val="20"/>
                <w:u w:val="none"/>
              </w:rPr>
            </w:pPr>
          </w:p>
        </w:tc>
        <w:tc>
          <w:tcPr>
            <w:tcW w:w="13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8F11AE">
            <w:pPr>
              <w:jc w:val="center"/>
              <w:rPr>
                <w:rFonts w:hint="eastAsia" w:ascii="宋体" w:hAnsi="宋体" w:eastAsia="宋体" w:cs="宋体"/>
                <w:i w:val="0"/>
                <w:color w:val="000000"/>
                <w:sz w:val="20"/>
                <w:szCs w:val="20"/>
                <w:u w:val="none"/>
              </w:rPr>
            </w:pPr>
          </w:p>
        </w:tc>
      </w:tr>
      <w:tr w14:paraId="20F71D8C">
        <w:tblPrEx>
          <w:tblCellMar>
            <w:top w:w="0" w:type="dxa"/>
            <w:left w:w="0" w:type="dxa"/>
            <w:bottom w:w="0" w:type="dxa"/>
            <w:right w:w="0" w:type="dxa"/>
          </w:tblCellMar>
        </w:tblPrEx>
        <w:trPr>
          <w:trHeight w:val="319" w:hRule="atLeast"/>
        </w:trPr>
        <w:tc>
          <w:tcPr>
            <w:tcW w:w="57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C3BA7DA">
            <w:pPr>
              <w:jc w:val="center"/>
              <w:rPr>
                <w:rFonts w:hint="eastAsia" w:ascii="宋体" w:hAnsi="宋体" w:eastAsia="宋体" w:cs="宋体"/>
                <w:i w:val="0"/>
                <w:color w:val="000000"/>
                <w:sz w:val="20"/>
                <w:szCs w:val="20"/>
                <w:u w:val="none"/>
              </w:rPr>
            </w:pPr>
          </w:p>
        </w:tc>
        <w:tc>
          <w:tcPr>
            <w:tcW w:w="46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D3396B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7AF5B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服务对象满意度指标</w:t>
            </w:r>
          </w:p>
        </w:tc>
        <w:tc>
          <w:tcPr>
            <w:tcW w:w="201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8CC97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受益群众满意度</w:t>
            </w:r>
          </w:p>
        </w:tc>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FD27F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w:t>
            </w:r>
          </w:p>
        </w:tc>
        <w:tc>
          <w:tcPr>
            <w:tcW w:w="7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61C7D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96%</w:t>
            </w:r>
          </w:p>
        </w:tc>
        <w:tc>
          <w:tcPr>
            <w:tcW w:w="7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37E9C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6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307B0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3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53808B">
            <w:pPr>
              <w:jc w:val="center"/>
              <w:rPr>
                <w:rFonts w:hint="eastAsia" w:ascii="宋体" w:hAnsi="宋体" w:eastAsia="宋体" w:cs="宋体"/>
                <w:i w:val="0"/>
                <w:color w:val="000000"/>
                <w:sz w:val="20"/>
                <w:szCs w:val="20"/>
                <w:u w:val="none"/>
              </w:rPr>
            </w:pPr>
          </w:p>
        </w:tc>
      </w:tr>
      <w:tr w14:paraId="075BF8CF">
        <w:tblPrEx>
          <w:shd w:val="clear" w:color="auto" w:fill="auto"/>
          <w:tblCellMar>
            <w:top w:w="0" w:type="dxa"/>
            <w:left w:w="0" w:type="dxa"/>
            <w:bottom w:w="0" w:type="dxa"/>
            <w:right w:w="0" w:type="dxa"/>
          </w:tblCellMar>
        </w:tblPrEx>
        <w:trPr>
          <w:trHeight w:val="319" w:hRule="atLeast"/>
        </w:trPr>
        <w:tc>
          <w:tcPr>
            <w:tcW w:w="5583"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956C0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总分</w:t>
            </w:r>
          </w:p>
        </w:tc>
        <w:tc>
          <w:tcPr>
            <w:tcW w:w="7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92A14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6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DF91B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3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60E535">
            <w:pPr>
              <w:jc w:val="center"/>
              <w:rPr>
                <w:rFonts w:hint="eastAsia" w:ascii="宋体" w:hAnsi="宋体" w:eastAsia="宋体" w:cs="宋体"/>
                <w:i w:val="0"/>
                <w:color w:val="000000"/>
                <w:sz w:val="20"/>
                <w:szCs w:val="20"/>
                <w:u w:val="none"/>
              </w:rPr>
            </w:pPr>
          </w:p>
        </w:tc>
      </w:tr>
    </w:tbl>
    <w:p w14:paraId="2AADB0F0">
      <w:pPr>
        <w:numPr>
          <w:ilvl w:val="0"/>
          <w:numId w:val="0"/>
        </w:num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val="en-US" w:eastAsia="zh-CN"/>
        </w:rPr>
        <w:t>4.吉木萨尔县实施城镇规划2019年第二批建设用地(吉木萨尔县牛羊定点屠宰场项目)耕地开垦费</w:t>
      </w:r>
      <w:r>
        <w:rPr>
          <w:rFonts w:hint="eastAsia" w:ascii="仿宋_GB2312" w:eastAsia="仿宋_GB2312"/>
          <w:sz w:val="32"/>
          <w:szCs w:val="32"/>
          <w:highlight w:val="none"/>
          <w:lang w:eastAsia="zh-CN"/>
        </w:rPr>
        <w:t>项目</w:t>
      </w:r>
      <w:r>
        <w:rPr>
          <w:rFonts w:hint="eastAsia" w:ascii="仿宋_GB2312" w:eastAsia="仿宋_GB2312"/>
          <w:sz w:val="32"/>
          <w:szCs w:val="32"/>
          <w:highlight w:val="none"/>
        </w:rPr>
        <w:t>绩效自评综述：根据年初设定的绩效目标，吉木萨尔县实施城镇规划2019年第二批建设用地(吉木萨尔县牛羊定点屠宰场项目)耕地开垦费项目绩效自评得分为</w:t>
      </w:r>
      <w:r>
        <w:rPr>
          <w:rFonts w:hint="eastAsia" w:ascii="仿宋_GB2312" w:eastAsia="仿宋_GB2312"/>
          <w:sz w:val="32"/>
          <w:szCs w:val="32"/>
          <w:highlight w:val="none"/>
          <w:lang w:val="en-US" w:eastAsia="zh-CN"/>
        </w:rPr>
        <w:t>99</w:t>
      </w:r>
      <w:r>
        <w:rPr>
          <w:rFonts w:hint="eastAsia" w:ascii="仿宋_GB2312" w:eastAsia="仿宋_GB2312"/>
          <w:sz w:val="32"/>
          <w:szCs w:val="32"/>
          <w:highlight w:val="none"/>
        </w:rPr>
        <w:t>分。项目全年预算数为</w:t>
      </w:r>
      <w:r>
        <w:rPr>
          <w:rFonts w:hint="eastAsia" w:ascii="仿宋_GB2312" w:eastAsia="仿宋_GB2312"/>
          <w:sz w:val="32"/>
          <w:szCs w:val="32"/>
          <w:highlight w:val="none"/>
          <w:lang w:val="en-US" w:eastAsia="zh-CN"/>
        </w:rPr>
        <w:t>2.6055</w:t>
      </w:r>
      <w:r>
        <w:rPr>
          <w:rFonts w:hint="eastAsia" w:ascii="仿宋_GB2312" w:eastAsia="仿宋_GB2312"/>
          <w:sz w:val="32"/>
          <w:szCs w:val="32"/>
          <w:highlight w:val="none"/>
        </w:rPr>
        <w:t>万元，执行数为</w:t>
      </w:r>
      <w:r>
        <w:rPr>
          <w:rFonts w:hint="eastAsia" w:ascii="仿宋_GB2312" w:eastAsia="仿宋_GB2312"/>
          <w:sz w:val="32"/>
          <w:szCs w:val="32"/>
          <w:highlight w:val="none"/>
          <w:lang w:val="en-US" w:eastAsia="zh-CN"/>
        </w:rPr>
        <w:t>2.6055</w:t>
      </w:r>
      <w:r>
        <w:rPr>
          <w:rFonts w:hint="eastAsia" w:ascii="仿宋_GB2312" w:eastAsia="仿宋_GB2312"/>
          <w:sz w:val="32"/>
          <w:szCs w:val="32"/>
          <w:highlight w:val="none"/>
        </w:rPr>
        <w:t>万元，完成预算的1</w:t>
      </w:r>
      <w:r>
        <w:rPr>
          <w:rFonts w:hint="eastAsia" w:ascii="仿宋_GB2312" w:eastAsia="仿宋_GB2312"/>
          <w:sz w:val="32"/>
          <w:szCs w:val="32"/>
          <w:highlight w:val="none"/>
          <w:lang w:val="en-US" w:eastAsia="zh-CN"/>
        </w:rPr>
        <w:t>00%</w:t>
      </w:r>
      <w:r>
        <w:rPr>
          <w:rFonts w:hint="eastAsia" w:ascii="仿宋_GB2312" w:eastAsia="仿宋_GB2312"/>
          <w:sz w:val="32"/>
          <w:szCs w:val="32"/>
          <w:highlight w:val="none"/>
        </w:rPr>
        <w:t>。主要产出和效果：吉木萨尔县牛羊定点屠宰场影响周边人居环境，县人民政府决定搬迁，为该项目重新选址修建牛羊屠宰场。</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发现的问题及原因：</w:t>
      </w:r>
      <w:r>
        <w:rPr>
          <w:rFonts w:hint="eastAsia" w:ascii="仿宋_GB2312" w:eastAsia="仿宋_GB2312"/>
          <w:sz w:val="32"/>
          <w:szCs w:val="32"/>
          <w:highlight w:val="none"/>
          <w:lang w:eastAsia="zh-CN"/>
        </w:rPr>
        <w:t>无问题</w:t>
      </w:r>
      <w:r>
        <w:rPr>
          <w:rFonts w:hint="eastAsia" w:ascii="仿宋_GB2312" w:eastAsia="仿宋_GB2312"/>
          <w:sz w:val="32"/>
          <w:szCs w:val="32"/>
          <w:highlight w:val="none"/>
        </w:rPr>
        <w:t>。下一步改进措施：</w:t>
      </w:r>
      <w:r>
        <w:rPr>
          <w:rFonts w:hint="eastAsia" w:ascii="仿宋_GB2312" w:eastAsia="仿宋_GB2312"/>
          <w:sz w:val="32"/>
          <w:szCs w:val="32"/>
          <w:highlight w:val="none"/>
          <w:lang w:eastAsia="zh-CN"/>
        </w:rPr>
        <w:t>无措施</w:t>
      </w:r>
      <w:r>
        <w:rPr>
          <w:rFonts w:hint="eastAsia" w:ascii="仿宋_GB2312" w:eastAsia="仿宋_GB2312"/>
          <w:sz w:val="32"/>
          <w:szCs w:val="32"/>
          <w:highlight w:val="none"/>
        </w:rPr>
        <w:t>。</w:t>
      </w:r>
    </w:p>
    <w:tbl>
      <w:tblPr>
        <w:tblStyle w:val="5"/>
        <w:tblW w:w="8336" w:type="dxa"/>
        <w:tblInd w:w="0" w:type="dxa"/>
        <w:shd w:val="clear" w:color="auto" w:fill="auto"/>
        <w:tblLayout w:type="fixed"/>
        <w:tblCellMar>
          <w:top w:w="0" w:type="dxa"/>
          <w:left w:w="0" w:type="dxa"/>
          <w:bottom w:w="0" w:type="dxa"/>
          <w:right w:w="0" w:type="dxa"/>
        </w:tblCellMar>
      </w:tblPr>
      <w:tblGrid>
        <w:gridCol w:w="593"/>
        <w:gridCol w:w="479"/>
        <w:gridCol w:w="782"/>
        <w:gridCol w:w="839"/>
        <w:gridCol w:w="934"/>
        <w:gridCol w:w="305"/>
        <w:gridCol w:w="805"/>
        <w:gridCol w:w="772"/>
        <w:gridCol w:w="292"/>
        <w:gridCol w:w="442"/>
        <w:gridCol w:w="537"/>
        <w:gridCol w:w="127"/>
        <w:gridCol w:w="735"/>
        <w:gridCol w:w="694"/>
      </w:tblGrid>
      <w:tr w14:paraId="03F8A1F9">
        <w:tblPrEx>
          <w:shd w:val="clear" w:color="auto" w:fill="auto"/>
          <w:tblCellMar>
            <w:top w:w="0" w:type="dxa"/>
            <w:left w:w="0" w:type="dxa"/>
            <w:bottom w:w="0" w:type="dxa"/>
            <w:right w:w="0" w:type="dxa"/>
          </w:tblCellMar>
        </w:tblPrEx>
        <w:trPr>
          <w:trHeight w:val="405" w:hRule="atLeast"/>
        </w:trPr>
        <w:tc>
          <w:tcPr>
            <w:tcW w:w="8336" w:type="dxa"/>
            <w:gridSpan w:val="14"/>
            <w:tcBorders>
              <w:top w:val="nil"/>
              <w:left w:val="nil"/>
              <w:bottom w:val="nil"/>
              <w:right w:val="nil"/>
            </w:tcBorders>
            <w:shd w:val="clear" w:color="auto" w:fill="auto"/>
            <w:tcMar>
              <w:top w:w="15" w:type="dxa"/>
              <w:left w:w="15" w:type="dxa"/>
              <w:right w:w="15" w:type="dxa"/>
            </w:tcMar>
            <w:vAlign w:val="center"/>
          </w:tcPr>
          <w:p w14:paraId="463CD255">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14:paraId="6B81F3EA">
        <w:tblPrEx>
          <w:shd w:val="clear" w:color="auto" w:fill="auto"/>
          <w:tblCellMar>
            <w:top w:w="0" w:type="dxa"/>
            <w:left w:w="0" w:type="dxa"/>
            <w:bottom w:w="0" w:type="dxa"/>
            <w:right w:w="0" w:type="dxa"/>
          </w:tblCellMar>
        </w:tblPrEx>
        <w:trPr>
          <w:trHeight w:val="405" w:hRule="atLeast"/>
        </w:trPr>
        <w:tc>
          <w:tcPr>
            <w:tcW w:w="8336" w:type="dxa"/>
            <w:gridSpan w:val="14"/>
            <w:tcBorders>
              <w:top w:val="nil"/>
              <w:left w:val="nil"/>
              <w:bottom w:val="nil"/>
              <w:right w:val="nil"/>
            </w:tcBorders>
            <w:shd w:val="clear" w:color="auto" w:fill="auto"/>
            <w:tcMar>
              <w:top w:w="15" w:type="dxa"/>
              <w:left w:w="15" w:type="dxa"/>
              <w:right w:w="15" w:type="dxa"/>
            </w:tcMar>
            <w:vAlign w:val="center"/>
          </w:tcPr>
          <w:p w14:paraId="2FFFB45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（2019年度）</w:t>
            </w:r>
          </w:p>
        </w:tc>
      </w:tr>
      <w:tr w14:paraId="17295937">
        <w:tblPrEx>
          <w:shd w:val="clear" w:color="auto" w:fill="auto"/>
          <w:tblCellMar>
            <w:top w:w="0" w:type="dxa"/>
            <w:left w:w="0" w:type="dxa"/>
            <w:bottom w:w="0" w:type="dxa"/>
            <w:right w:w="0" w:type="dxa"/>
          </w:tblCellMar>
        </w:tblPrEx>
        <w:trPr>
          <w:trHeight w:val="319" w:hRule="atLeast"/>
        </w:trPr>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2A61D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7264"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66105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吉木萨尔县实施城镇规划2019年第二批建设用地(吉木萨尔县牛羊定点屠宰场项目)耕地开垦费</w:t>
            </w:r>
          </w:p>
        </w:tc>
      </w:tr>
      <w:tr w14:paraId="62335208">
        <w:tblPrEx>
          <w:shd w:val="clear" w:color="auto" w:fill="auto"/>
          <w:tblCellMar>
            <w:top w:w="0" w:type="dxa"/>
            <w:left w:w="0" w:type="dxa"/>
            <w:bottom w:w="0" w:type="dxa"/>
            <w:right w:w="0" w:type="dxa"/>
          </w:tblCellMar>
        </w:tblPrEx>
        <w:trPr>
          <w:trHeight w:val="319" w:hRule="atLeast"/>
        </w:trPr>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19A9A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主管部门</w:t>
            </w:r>
          </w:p>
        </w:tc>
        <w:tc>
          <w:tcPr>
            <w:tcW w:w="366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67CDF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吉木萨尔县自然资源局</w:t>
            </w:r>
          </w:p>
        </w:tc>
        <w:tc>
          <w:tcPr>
            <w:tcW w:w="10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F0928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实施单位</w:t>
            </w:r>
          </w:p>
        </w:tc>
        <w:tc>
          <w:tcPr>
            <w:tcW w:w="25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BE5D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吉木萨尔县自然资源局</w:t>
            </w:r>
          </w:p>
        </w:tc>
      </w:tr>
      <w:tr w14:paraId="3522DDF1">
        <w:tblPrEx>
          <w:tblCellMar>
            <w:top w:w="0" w:type="dxa"/>
            <w:left w:w="0" w:type="dxa"/>
            <w:bottom w:w="0" w:type="dxa"/>
            <w:right w:w="0" w:type="dxa"/>
          </w:tblCellMar>
        </w:tblPrEx>
        <w:trPr>
          <w:trHeight w:val="319" w:hRule="atLeast"/>
        </w:trPr>
        <w:tc>
          <w:tcPr>
            <w:tcW w:w="107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30B85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       （万元）</w:t>
            </w:r>
          </w:p>
        </w:tc>
        <w:tc>
          <w:tcPr>
            <w:tcW w:w="16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7711E0">
            <w:pPr>
              <w:jc w:val="center"/>
              <w:rPr>
                <w:rFonts w:hint="eastAsia" w:ascii="宋体" w:hAnsi="宋体" w:eastAsia="宋体" w:cs="宋体"/>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D9488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年初预算数</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4D5B0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全年预算数</w:t>
            </w:r>
          </w:p>
        </w:tc>
        <w:tc>
          <w:tcPr>
            <w:tcW w:w="10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A9F5C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全年执行数</w:t>
            </w:r>
          </w:p>
        </w:tc>
        <w:tc>
          <w:tcPr>
            <w:tcW w:w="9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A0466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86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5F4B4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执行率</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1D0A3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r>
      <w:tr w14:paraId="525C04FE">
        <w:tblPrEx>
          <w:tblCellMar>
            <w:top w:w="0" w:type="dxa"/>
            <w:left w:w="0" w:type="dxa"/>
            <w:bottom w:w="0" w:type="dxa"/>
            <w:right w:w="0" w:type="dxa"/>
          </w:tblCellMar>
        </w:tblPrEx>
        <w:trPr>
          <w:trHeight w:val="319" w:hRule="atLeast"/>
        </w:trPr>
        <w:tc>
          <w:tcPr>
            <w:tcW w:w="10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EFBDA4">
            <w:pPr>
              <w:jc w:val="center"/>
              <w:rPr>
                <w:rFonts w:hint="eastAsia" w:ascii="宋体" w:hAnsi="宋体" w:eastAsia="宋体" w:cs="宋体"/>
                <w:i w:val="0"/>
                <w:color w:val="000000"/>
                <w:sz w:val="20"/>
                <w:szCs w:val="20"/>
                <w:u w:val="none"/>
              </w:rPr>
            </w:pPr>
          </w:p>
        </w:tc>
        <w:tc>
          <w:tcPr>
            <w:tcW w:w="16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8367C5">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年度资金总额</w:t>
            </w:r>
          </w:p>
        </w:tc>
        <w:tc>
          <w:tcPr>
            <w:tcW w:w="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BAEC0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2.6055</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8CE2E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2.6055</w:t>
            </w:r>
          </w:p>
        </w:tc>
        <w:tc>
          <w:tcPr>
            <w:tcW w:w="10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80917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2.6055</w:t>
            </w:r>
          </w:p>
        </w:tc>
        <w:tc>
          <w:tcPr>
            <w:tcW w:w="9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4422C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6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5A7DB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2.6055</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F17F4E">
            <w:pPr>
              <w:jc w:val="center"/>
              <w:rPr>
                <w:rFonts w:hint="eastAsia" w:ascii="宋体" w:hAnsi="宋体" w:eastAsia="宋体" w:cs="宋体"/>
                <w:i w:val="0"/>
                <w:color w:val="000000"/>
                <w:sz w:val="20"/>
                <w:szCs w:val="20"/>
                <w:u w:val="none"/>
              </w:rPr>
            </w:pPr>
          </w:p>
        </w:tc>
      </w:tr>
      <w:tr w14:paraId="6B319E8F">
        <w:tblPrEx>
          <w:shd w:val="clear" w:color="auto" w:fill="auto"/>
          <w:tblCellMar>
            <w:top w:w="0" w:type="dxa"/>
            <w:left w:w="0" w:type="dxa"/>
            <w:bottom w:w="0" w:type="dxa"/>
            <w:right w:w="0" w:type="dxa"/>
          </w:tblCellMar>
        </w:tblPrEx>
        <w:trPr>
          <w:trHeight w:val="319" w:hRule="atLeast"/>
        </w:trPr>
        <w:tc>
          <w:tcPr>
            <w:tcW w:w="10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7EBEBA">
            <w:pPr>
              <w:jc w:val="center"/>
              <w:rPr>
                <w:rFonts w:hint="eastAsia" w:ascii="宋体" w:hAnsi="宋体" w:eastAsia="宋体" w:cs="宋体"/>
                <w:i w:val="0"/>
                <w:color w:val="000000"/>
                <w:sz w:val="20"/>
                <w:szCs w:val="20"/>
                <w:u w:val="none"/>
              </w:rPr>
            </w:pPr>
          </w:p>
        </w:tc>
        <w:tc>
          <w:tcPr>
            <w:tcW w:w="16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905F3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其中：当年财政拨款</w:t>
            </w:r>
          </w:p>
        </w:tc>
        <w:tc>
          <w:tcPr>
            <w:tcW w:w="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2F58B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2.6055</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C04B6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2.6055</w:t>
            </w:r>
          </w:p>
        </w:tc>
        <w:tc>
          <w:tcPr>
            <w:tcW w:w="10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3BE2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2.6055</w:t>
            </w:r>
          </w:p>
        </w:tc>
        <w:tc>
          <w:tcPr>
            <w:tcW w:w="9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04DC9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6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2C033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2.6055</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A3654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14:paraId="6E3FC80F">
        <w:tblPrEx>
          <w:tblCellMar>
            <w:top w:w="0" w:type="dxa"/>
            <w:left w:w="0" w:type="dxa"/>
            <w:bottom w:w="0" w:type="dxa"/>
            <w:right w:w="0" w:type="dxa"/>
          </w:tblCellMar>
        </w:tblPrEx>
        <w:trPr>
          <w:trHeight w:val="319" w:hRule="atLeast"/>
        </w:trPr>
        <w:tc>
          <w:tcPr>
            <w:tcW w:w="10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C445D6">
            <w:pPr>
              <w:jc w:val="center"/>
              <w:rPr>
                <w:rFonts w:hint="eastAsia" w:ascii="宋体" w:hAnsi="宋体" w:eastAsia="宋体" w:cs="宋体"/>
                <w:i w:val="0"/>
                <w:color w:val="000000"/>
                <w:sz w:val="20"/>
                <w:szCs w:val="20"/>
                <w:u w:val="none"/>
              </w:rPr>
            </w:pPr>
          </w:p>
        </w:tc>
        <w:tc>
          <w:tcPr>
            <w:tcW w:w="16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83B10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上年结转资金</w:t>
            </w:r>
          </w:p>
        </w:tc>
        <w:tc>
          <w:tcPr>
            <w:tcW w:w="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1BE80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FB097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10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990EA4">
            <w:pPr>
              <w:jc w:val="center"/>
              <w:rPr>
                <w:rFonts w:hint="eastAsia" w:ascii="宋体" w:hAnsi="宋体" w:eastAsia="宋体" w:cs="宋体"/>
                <w:i w:val="0"/>
                <w:color w:val="000000"/>
                <w:sz w:val="20"/>
                <w:szCs w:val="20"/>
                <w:u w:val="none"/>
              </w:rPr>
            </w:pPr>
          </w:p>
        </w:tc>
        <w:tc>
          <w:tcPr>
            <w:tcW w:w="9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BB737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6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F65B04">
            <w:pPr>
              <w:jc w:val="center"/>
              <w:rPr>
                <w:rFonts w:hint="eastAsia" w:ascii="宋体" w:hAnsi="宋体" w:eastAsia="宋体" w:cs="宋体"/>
                <w:i w:val="0"/>
                <w:color w:val="000000"/>
                <w:sz w:val="20"/>
                <w:szCs w:val="20"/>
                <w:u w:val="none"/>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EC692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14:paraId="2E1B579E">
        <w:tblPrEx>
          <w:shd w:val="clear" w:color="auto" w:fill="auto"/>
          <w:tblCellMar>
            <w:top w:w="0" w:type="dxa"/>
            <w:left w:w="0" w:type="dxa"/>
            <w:bottom w:w="0" w:type="dxa"/>
            <w:right w:w="0" w:type="dxa"/>
          </w:tblCellMar>
        </w:tblPrEx>
        <w:trPr>
          <w:trHeight w:val="319" w:hRule="atLeast"/>
        </w:trPr>
        <w:tc>
          <w:tcPr>
            <w:tcW w:w="10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6D9867">
            <w:pPr>
              <w:jc w:val="center"/>
              <w:rPr>
                <w:rFonts w:hint="eastAsia" w:ascii="宋体" w:hAnsi="宋体" w:eastAsia="宋体" w:cs="宋体"/>
                <w:i w:val="0"/>
                <w:color w:val="000000"/>
                <w:sz w:val="20"/>
                <w:szCs w:val="20"/>
                <w:u w:val="none"/>
              </w:rPr>
            </w:pPr>
          </w:p>
        </w:tc>
        <w:tc>
          <w:tcPr>
            <w:tcW w:w="16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1ED30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其他资金</w:t>
            </w:r>
          </w:p>
        </w:tc>
        <w:tc>
          <w:tcPr>
            <w:tcW w:w="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3CCD7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D766C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10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FDA9B2">
            <w:pPr>
              <w:jc w:val="center"/>
              <w:rPr>
                <w:rFonts w:hint="eastAsia" w:ascii="宋体" w:hAnsi="宋体" w:eastAsia="宋体" w:cs="宋体"/>
                <w:i w:val="0"/>
                <w:color w:val="000000"/>
                <w:sz w:val="20"/>
                <w:szCs w:val="20"/>
                <w:u w:val="none"/>
              </w:rPr>
            </w:pPr>
          </w:p>
        </w:tc>
        <w:tc>
          <w:tcPr>
            <w:tcW w:w="9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1292D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6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7F25F3">
            <w:pPr>
              <w:jc w:val="center"/>
              <w:rPr>
                <w:rFonts w:hint="eastAsia" w:ascii="宋体" w:hAnsi="宋体" w:eastAsia="宋体" w:cs="宋体"/>
                <w:i w:val="0"/>
                <w:color w:val="000000"/>
                <w:sz w:val="20"/>
                <w:szCs w:val="20"/>
                <w:u w:val="none"/>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44995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14:paraId="5DA3E5A0">
        <w:tblPrEx>
          <w:shd w:val="clear" w:color="auto" w:fill="auto"/>
          <w:tblCellMar>
            <w:top w:w="0" w:type="dxa"/>
            <w:left w:w="0" w:type="dxa"/>
            <w:bottom w:w="0" w:type="dxa"/>
            <w:right w:w="0" w:type="dxa"/>
          </w:tblCellMar>
        </w:tblPrEx>
        <w:trPr>
          <w:trHeight w:val="319" w:hRule="atLeast"/>
        </w:trPr>
        <w:tc>
          <w:tcPr>
            <w:tcW w:w="59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10EED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年度总体目标</w:t>
            </w:r>
          </w:p>
        </w:tc>
        <w:tc>
          <w:tcPr>
            <w:tcW w:w="414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8BC77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预期目标</w:t>
            </w:r>
          </w:p>
        </w:tc>
        <w:tc>
          <w:tcPr>
            <w:tcW w:w="3599"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2BDBE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实际完成情况</w:t>
            </w:r>
          </w:p>
        </w:tc>
      </w:tr>
      <w:tr w14:paraId="0D6AA09F">
        <w:tblPrEx>
          <w:shd w:val="clear" w:color="auto" w:fill="auto"/>
          <w:tblCellMar>
            <w:top w:w="0" w:type="dxa"/>
            <w:left w:w="0" w:type="dxa"/>
            <w:bottom w:w="0" w:type="dxa"/>
            <w:right w:w="0" w:type="dxa"/>
          </w:tblCellMar>
        </w:tblPrEx>
        <w:trPr>
          <w:trHeight w:val="1360" w:hRule="atLeast"/>
        </w:trPr>
        <w:tc>
          <w:tcPr>
            <w:tcW w:w="5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4CDC86">
            <w:pPr>
              <w:jc w:val="center"/>
              <w:rPr>
                <w:rFonts w:hint="eastAsia" w:ascii="宋体" w:hAnsi="宋体" w:eastAsia="宋体" w:cs="宋体"/>
                <w:i w:val="0"/>
                <w:color w:val="000000"/>
                <w:sz w:val="20"/>
                <w:szCs w:val="20"/>
                <w:u w:val="none"/>
              </w:rPr>
            </w:pPr>
          </w:p>
        </w:tc>
        <w:tc>
          <w:tcPr>
            <w:tcW w:w="414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72035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吉木萨尔县牛羊定点屠宰场影响周边人居环境，县人民政府决定搬迁，为该项目重新选址修建牛羊屠宰场。</w:t>
            </w:r>
          </w:p>
        </w:tc>
        <w:tc>
          <w:tcPr>
            <w:tcW w:w="3599"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CEEAD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已完成</w:t>
            </w:r>
          </w:p>
        </w:tc>
      </w:tr>
      <w:tr w14:paraId="0FF1D3EC">
        <w:tblPrEx>
          <w:shd w:val="clear" w:color="auto" w:fill="auto"/>
          <w:tblCellMar>
            <w:top w:w="0" w:type="dxa"/>
            <w:left w:w="0" w:type="dxa"/>
            <w:bottom w:w="0" w:type="dxa"/>
            <w:right w:w="0" w:type="dxa"/>
          </w:tblCellMar>
        </w:tblPrEx>
        <w:trPr>
          <w:trHeight w:val="319" w:hRule="atLeast"/>
        </w:trPr>
        <w:tc>
          <w:tcPr>
            <w:tcW w:w="593"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D32CEE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绩              效    指    标</w:t>
            </w:r>
          </w:p>
        </w:tc>
        <w:tc>
          <w:tcPr>
            <w:tcW w:w="47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CFD03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一级指标</w:t>
            </w:r>
          </w:p>
        </w:tc>
        <w:tc>
          <w:tcPr>
            <w:tcW w:w="78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3A7AA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二级指标</w:t>
            </w:r>
          </w:p>
        </w:tc>
        <w:tc>
          <w:tcPr>
            <w:tcW w:w="207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A86D5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三级指标</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FB2D3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A9446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w:t>
            </w:r>
          </w:p>
        </w:tc>
        <w:tc>
          <w:tcPr>
            <w:tcW w:w="73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A7E58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66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FA740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c>
          <w:tcPr>
            <w:tcW w:w="142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F6845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偏差原因分析及改进措施</w:t>
            </w:r>
          </w:p>
        </w:tc>
      </w:tr>
      <w:tr w14:paraId="4DA991AC">
        <w:tblPrEx>
          <w:tblCellMar>
            <w:top w:w="0" w:type="dxa"/>
            <w:left w:w="0" w:type="dxa"/>
            <w:bottom w:w="0" w:type="dxa"/>
            <w:right w:w="0" w:type="dxa"/>
          </w:tblCellMar>
        </w:tblPrEx>
        <w:trPr>
          <w:trHeight w:val="319" w:hRule="atLeast"/>
        </w:trPr>
        <w:tc>
          <w:tcPr>
            <w:tcW w:w="59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E5296BC">
            <w:pPr>
              <w:jc w:val="center"/>
              <w:rPr>
                <w:rFonts w:hint="eastAsia" w:ascii="宋体" w:hAnsi="宋体" w:eastAsia="宋体" w:cs="宋体"/>
                <w:i w:val="0"/>
                <w:color w:val="000000"/>
                <w:sz w:val="20"/>
                <w:szCs w:val="20"/>
                <w:u w:val="none"/>
              </w:rPr>
            </w:pPr>
          </w:p>
        </w:tc>
        <w:tc>
          <w:tcPr>
            <w:tcW w:w="4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7278B9">
            <w:pPr>
              <w:jc w:val="center"/>
              <w:rPr>
                <w:rFonts w:hint="eastAsia" w:ascii="宋体" w:hAnsi="宋体" w:eastAsia="宋体" w:cs="宋体"/>
                <w:i w:val="0"/>
                <w:color w:val="000000"/>
                <w:sz w:val="20"/>
                <w:szCs w:val="20"/>
                <w:u w:val="none"/>
              </w:rPr>
            </w:pPr>
          </w:p>
        </w:tc>
        <w:tc>
          <w:tcPr>
            <w:tcW w:w="7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B35C6A">
            <w:pPr>
              <w:jc w:val="center"/>
              <w:rPr>
                <w:rFonts w:hint="eastAsia" w:ascii="宋体" w:hAnsi="宋体" w:eastAsia="宋体" w:cs="宋体"/>
                <w:i w:val="0"/>
                <w:color w:val="000000"/>
                <w:sz w:val="20"/>
                <w:szCs w:val="20"/>
                <w:u w:val="none"/>
              </w:rPr>
            </w:pPr>
          </w:p>
        </w:tc>
        <w:tc>
          <w:tcPr>
            <w:tcW w:w="207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952E48">
            <w:pPr>
              <w:jc w:val="center"/>
              <w:rPr>
                <w:rFonts w:hint="eastAsia" w:ascii="宋体" w:hAnsi="宋体" w:eastAsia="宋体" w:cs="宋体"/>
                <w:i w:val="0"/>
                <w:color w:val="000000"/>
                <w:sz w:val="20"/>
                <w:szCs w:val="20"/>
                <w:u w:val="none"/>
              </w:rPr>
            </w:pP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DE29E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指标值</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7C358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完成值</w:t>
            </w:r>
          </w:p>
        </w:tc>
        <w:tc>
          <w:tcPr>
            <w:tcW w:w="7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1F576">
            <w:pPr>
              <w:jc w:val="center"/>
              <w:rPr>
                <w:rFonts w:hint="eastAsia" w:ascii="宋体" w:hAnsi="宋体" w:eastAsia="宋体" w:cs="宋体"/>
                <w:i w:val="0"/>
                <w:color w:val="000000"/>
                <w:sz w:val="20"/>
                <w:szCs w:val="20"/>
                <w:u w:val="none"/>
              </w:rPr>
            </w:pPr>
          </w:p>
        </w:tc>
        <w:tc>
          <w:tcPr>
            <w:tcW w:w="6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F63F2C">
            <w:pPr>
              <w:jc w:val="center"/>
              <w:rPr>
                <w:rFonts w:hint="eastAsia" w:ascii="宋体" w:hAnsi="宋体" w:eastAsia="宋体" w:cs="宋体"/>
                <w:i w:val="0"/>
                <w:color w:val="000000"/>
                <w:sz w:val="20"/>
                <w:szCs w:val="20"/>
                <w:u w:val="none"/>
              </w:rPr>
            </w:pPr>
          </w:p>
        </w:tc>
        <w:tc>
          <w:tcPr>
            <w:tcW w:w="142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86C493">
            <w:pPr>
              <w:jc w:val="center"/>
              <w:rPr>
                <w:rFonts w:hint="eastAsia" w:ascii="宋体" w:hAnsi="宋体" w:eastAsia="宋体" w:cs="宋体"/>
                <w:i w:val="0"/>
                <w:color w:val="000000"/>
                <w:sz w:val="20"/>
                <w:szCs w:val="20"/>
                <w:u w:val="none"/>
              </w:rPr>
            </w:pPr>
          </w:p>
        </w:tc>
      </w:tr>
      <w:tr w14:paraId="51C159BD">
        <w:tblPrEx>
          <w:tblCellMar>
            <w:top w:w="0" w:type="dxa"/>
            <w:left w:w="0" w:type="dxa"/>
            <w:bottom w:w="0" w:type="dxa"/>
            <w:right w:w="0" w:type="dxa"/>
          </w:tblCellMar>
        </w:tblPrEx>
        <w:trPr>
          <w:trHeight w:val="319" w:hRule="atLeast"/>
        </w:trPr>
        <w:tc>
          <w:tcPr>
            <w:tcW w:w="59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605495D">
            <w:pPr>
              <w:jc w:val="center"/>
              <w:rPr>
                <w:rFonts w:hint="eastAsia" w:ascii="宋体" w:hAnsi="宋体" w:eastAsia="宋体" w:cs="宋体"/>
                <w:i w:val="0"/>
                <w:color w:val="000000"/>
                <w:sz w:val="20"/>
                <w:szCs w:val="20"/>
                <w:u w:val="none"/>
              </w:rPr>
            </w:pPr>
          </w:p>
        </w:tc>
        <w:tc>
          <w:tcPr>
            <w:tcW w:w="47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0F98C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78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E1D9D3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07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AA636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占用二工镇董家湾村耕地</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0F3C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8.685亩</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6B9D6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8.685亩</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981C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6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1AF71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142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53EFCC">
            <w:pPr>
              <w:jc w:val="center"/>
              <w:rPr>
                <w:rFonts w:hint="eastAsia" w:ascii="宋体" w:hAnsi="宋体" w:eastAsia="宋体" w:cs="宋体"/>
                <w:i w:val="0"/>
                <w:color w:val="000000"/>
                <w:sz w:val="20"/>
                <w:szCs w:val="20"/>
                <w:u w:val="none"/>
              </w:rPr>
            </w:pPr>
          </w:p>
        </w:tc>
      </w:tr>
      <w:tr w14:paraId="66D053F0">
        <w:tblPrEx>
          <w:shd w:val="clear" w:color="auto" w:fill="auto"/>
          <w:tblCellMar>
            <w:top w:w="0" w:type="dxa"/>
            <w:left w:w="0" w:type="dxa"/>
            <w:bottom w:w="0" w:type="dxa"/>
            <w:right w:w="0" w:type="dxa"/>
          </w:tblCellMar>
        </w:tblPrEx>
        <w:trPr>
          <w:trHeight w:val="319" w:hRule="atLeast"/>
        </w:trPr>
        <w:tc>
          <w:tcPr>
            <w:tcW w:w="59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1064D18">
            <w:pPr>
              <w:jc w:val="center"/>
              <w:rPr>
                <w:rFonts w:hint="eastAsia" w:ascii="宋体" w:hAnsi="宋体" w:eastAsia="宋体" w:cs="宋体"/>
                <w:i w:val="0"/>
                <w:color w:val="000000"/>
                <w:sz w:val="20"/>
                <w:szCs w:val="20"/>
                <w:u w:val="none"/>
              </w:rPr>
            </w:pPr>
          </w:p>
        </w:tc>
        <w:tc>
          <w:tcPr>
            <w:tcW w:w="4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423EFC">
            <w:pPr>
              <w:jc w:val="center"/>
              <w:rPr>
                <w:rFonts w:hint="eastAsia" w:ascii="宋体" w:hAnsi="宋体" w:eastAsia="宋体" w:cs="宋体"/>
                <w:i w:val="0"/>
                <w:color w:val="000000"/>
                <w:sz w:val="20"/>
                <w:szCs w:val="20"/>
                <w:u w:val="none"/>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B6F8A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207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072A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资金保障率</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4261F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2.6055万元</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9AC6E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2.6055万元</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1D563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6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C9311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42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EA704F">
            <w:pPr>
              <w:jc w:val="center"/>
              <w:rPr>
                <w:rFonts w:hint="eastAsia" w:ascii="宋体" w:hAnsi="宋体" w:eastAsia="宋体" w:cs="宋体"/>
                <w:i w:val="0"/>
                <w:color w:val="000000"/>
                <w:sz w:val="20"/>
                <w:szCs w:val="20"/>
                <w:u w:val="none"/>
              </w:rPr>
            </w:pPr>
          </w:p>
        </w:tc>
      </w:tr>
      <w:tr w14:paraId="0835BE89">
        <w:tblPrEx>
          <w:shd w:val="clear" w:color="auto" w:fill="auto"/>
          <w:tblCellMar>
            <w:top w:w="0" w:type="dxa"/>
            <w:left w:w="0" w:type="dxa"/>
            <w:bottom w:w="0" w:type="dxa"/>
            <w:right w:w="0" w:type="dxa"/>
          </w:tblCellMar>
        </w:tblPrEx>
        <w:trPr>
          <w:trHeight w:val="319" w:hRule="atLeast"/>
        </w:trPr>
        <w:tc>
          <w:tcPr>
            <w:tcW w:w="59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4687A8A">
            <w:pPr>
              <w:jc w:val="center"/>
              <w:rPr>
                <w:rFonts w:hint="eastAsia" w:ascii="宋体" w:hAnsi="宋体" w:eastAsia="宋体" w:cs="宋体"/>
                <w:i w:val="0"/>
                <w:color w:val="000000"/>
                <w:sz w:val="20"/>
                <w:szCs w:val="20"/>
                <w:u w:val="none"/>
              </w:rPr>
            </w:pPr>
          </w:p>
        </w:tc>
        <w:tc>
          <w:tcPr>
            <w:tcW w:w="4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D2CA47">
            <w:pPr>
              <w:jc w:val="center"/>
              <w:rPr>
                <w:rFonts w:hint="eastAsia" w:ascii="宋体" w:hAnsi="宋体" w:eastAsia="宋体" w:cs="宋体"/>
                <w:i w:val="0"/>
                <w:color w:val="000000"/>
                <w:sz w:val="20"/>
                <w:szCs w:val="20"/>
                <w:u w:val="none"/>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FC4A0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207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44FA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资金及时支付</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901D1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2.6055万元</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08310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2.6055万元</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D62E4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6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7FCDC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42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7EABAE">
            <w:pPr>
              <w:jc w:val="center"/>
              <w:rPr>
                <w:rFonts w:hint="eastAsia" w:ascii="宋体" w:hAnsi="宋体" w:eastAsia="宋体" w:cs="宋体"/>
                <w:i w:val="0"/>
                <w:color w:val="000000"/>
                <w:sz w:val="20"/>
                <w:szCs w:val="20"/>
                <w:u w:val="none"/>
              </w:rPr>
            </w:pPr>
          </w:p>
        </w:tc>
      </w:tr>
      <w:tr w14:paraId="44752D83">
        <w:tblPrEx>
          <w:shd w:val="clear" w:color="auto" w:fill="auto"/>
          <w:tblCellMar>
            <w:top w:w="0" w:type="dxa"/>
            <w:left w:w="0" w:type="dxa"/>
            <w:bottom w:w="0" w:type="dxa"/>
            <w:right w:w="0" w:type="dxa"/>
          </w:tblCellMar>
        </w:tblPrEx>
        <w:trPr>
          <w:trHeight w:val="319" w:hRule="atLeast"/>
        </w:trPr>
        <w:tc>
          <w:tcPr>
            <w:tcW w:w="59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BE52C4F">
            <w:pPr>
              <w:jc w:val="center"/>
              <w:rPr>
                <w:rFonts w:hint="eastAsia" w:ascii="宋体" w:hAnsi="宋体" w:eastAsia="宋体" w:cs="宋体"/>
                <w:i w:val="0"/>
                <w:color w:val="000000"/>
                <w:sz w:val="20"/>
                <w:szCs w:val="20"/>
                <w:u w:val="none"/>
              </w:rPr>
            </w:pPr>
          </w:p>
        </w:tc>
        <w:tc>
          <w:tcPr>
            <w:tcW w:w="4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A8782E">
            <w:pPr>
              <w:jc w:val="center"/>
              <w:rPr>
                <w:rFonts w:hint="eastAsia" w:ascii="宋体" w:hAnsi="宋体" w:eastAsia="宋体" w:cs="宋体"/>
                <w:i w:val="0"/>
                <w:color w:val="000000"/>
                <w:sz w:val="20"/>
                <w:szCs w:val="20"/>
                <w:u w:val="none"/>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E0D3C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207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593D6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占用二工镇董家湾村耕地</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9E58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8.685亩</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41390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8.685亩</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DDF88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6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D6C8F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142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10F693">
            <w:pPr>
              <w:jc w:val="center"/>
              <w:rPr>
                <w:rFonts w:hint="eastAsia" w:ascii="宋体" w:hAnsi="宋体" w:eastAsia="宋体" w:cs="宋体"/>
                <w:i w:val="0"/>
                <w:color w:val="000000"/>
                <w:sz w:val="20"/>
                <w:szCs w:val="20"/>
                <w:u w:val="none"/>
              </w:rPr>
            </w:pPr>
          </w:p>
        </w:tc>
      </w:tr>
      <w:tr w14:paraId="7BB62C0A">
        <w:tblPrEx>
          <w:shd w:val="clear" w:color="auto" w:fill="auto"/>
          <w:tblCellMar>
            <w:top w:w="0" w:type="dxa"/>
            <w:left w:w="0" w:type="dxa"/>
            <w:bottom w:w="0" w:type="dxa"/>
            <w:right w:w="0" w:type="dxa"/>
          </w:tblCellMar>
        </w:tblPrEx>
        <w:trPr>
          <w:trHeight w:val="500" w:hRule="atLeast"/>
        </w:trPr>
        <w:tc>
          <w:tcPr>
            <w:tcW w:w="59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48EE4F7">
            <w:pPr>
              <w:jc w:val="center"/>
              <w:rPr>
                <w:rFonts w:hint="eastAsia" w:ascii="宋体" w:hAnsi="宋体" w:eastAsia="宋体" w:cs="宋体"/>
                <w:i w:val="0"/>
                <w:color w:val="000000"/>
                <w:sz w:val="20"/>
                <w:szCs w:val="20"/>
                <w:u w:val="none"/>
              </w:rPr>
            </w:pPr>
          </w:p>
        </w:tc>
        <w:tc>
          <w:tcPr>
            <w:tcW w:w="47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5D50E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78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C5F933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经济效益指标</w:t>
            </w:r>
          </w:p>
        </w:tc>
        <w:tc>
          <w:tcPr>
            <w:tcW w:w="207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D77697">
            <w:pPr>
              <w:jc w:val="left"/>
              <w:rPr>
                <w:rFonts w:hint="eastAsia" w:ascii="宋体" w:hAnsi="宋体" w:eastAsia="宋体" w:cs="宋体"/>
                <w:i w:val="0"/>
                <w:color w:val="000000"/>
                <w:sz w:val="20"/>
                <w:szCs w:val="20"/>
                <w:u w:val="none"/>
              </w:rPr>
            </w:pP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79D106">
            <w:pPr>
              <w:jc w:val="center"/>
              <w:rPr>
                <w:rFonts w:hint="eastAsia" w:ascii="宋体" w:hAnsi="宋体" w:eastAsia="宋体" w:cs="宋体"/>
                <w:i w:val="0"/>
                <w:color w:val="000000"/>
                <w:sz w:val="20"/>
                <w:szCs w:val="20"/>
                <w:u w:val="none"/>
              </w:rPr>
            </w:pP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EC97F1">
            <w:pPr>
              <w:jc w:val="center"/>
              <w:rPr>
                <w:rFonts w:hint="eastAsia" w:ascii="宋体" w:hAnsi="宋体" w:eastAsia="宋体" w:cs="宋体"/>
                <w:i w:val="0"/>
                <w:color w:val="000000"/>
                <w:sz w:val="20"/>
                <w:szCs w:val="20"/>
                <w:u w:val="none"/>
              </w:rPr>
            </w:pP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4A7716">
            <w:pPr>
              <w:jc w:val="center"/>
              <w:rPr>
                <w:rFonts w:hint="eastAsia" w:ascii="宋体" w:hAnsi="宋体" w:eastAsia="宋体" w:cs="宋体"/>
                <w:i w:val="0"/>
                <w:color w:val="000000"/>
                <w:sz w:val="20"/>
                <w:szCs w:val="20"/>
                <w:u w:val="none"/>
              </w:rPr>
            </w:pPr>
          </w:p>
        </w:tc>
        <w:tc>
          <w:tcPr>
            <w:tcW w:w="6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E7E463">
            <w:pPr>
              <w:jc w:val="center"/>
              <w:rPr>
                <w:rFonts w:hint="eastAsia" w:ascii="宋体" w:hAnsi="宋体" w:eastAsia="宋体" w:cs="宋体"/>
                <w:i w:val="0"/>
                <w:color w:val="000000"/>
                <w:sz w:val="20"/>
                <w:szCs w:val="20"/>
                <w:u w:val="none"/>
              </w:rPr>
            </w:pPr>
          </w:p>
        </w:tc>
        <w:tc>
          <w:tcPr>
            <w:tcW w:w="142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9E8D8B">
            <w:pPr>
              <w:jc w:val="center"/>
              <w:rPr>
                <w:rFonts w:hint="eastAsia" w:ascii="宋体" w:hAnsi="宋体" w:eastAsia="宋体" w:cs="宋体"/>
                <w:i w:val="0"/>
                <w:color w:val="000000"/>
                <w:sz w:val="20"/>
                <w:szCs w:val="20"/>
                <w:u w:val="none"/>
              </w:rPr>
            </w:pPr>
          </w:p>
        </w:tc>
      </w:tr>
      <w:tr w14:paraId="630E6CD2">
        <w:tblPrEx>
          <w:tblCellMar>
            <w:top w:w="0" w:type="dxa"/>
            <w:left w:w="0" w:type="dxa"/>
            <w:bottom w:w="0" w:type="dxa"/>
            <w:right w:w="0" w:type="dxa"/>
          </w:tblCellMar>
        </w:tblPrEx>
        <w:trPr>
          <w:trHeight w:val="600" w:hRule="atLeast"/>
        </w:trPr>
        <w:tc>
          <w:tcPr>
            <w:tcW w:w="59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A87357A">
            <w:pPr>
              <w:jc w:val="center"/>
              <w:rPr>
                <w:rFonts w:hint="eastAsia" w:ascii="宋体" w:hAnsi="宋体" w:eastAsia="宋体" w:cs="宋体"/>
                <w:i w:val="0"/>
                <w:color w:val="000000"/>
                <w:sz w:val="20"/>
                <w:szCs w:val="20"/>
                <w:u w:val="none"/>
              </w:rPr>
            </w:pPr>
          </w:p>
        </w:tc>
        <w:tc>
          <w:tcPr>
            <w:tcW w:w="4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B47AE0">
            <w:pPr>
              <w:jc w:val="center"/>
              <w:rPr>
                <w:rFonts w:hint="eastAsia" w:ascii="宋体" w:hAnsi="宋体" w:eastAsia="宋体" w:cs="宋体"/>
                <w:i w:val="0"/>
                <w:color w:val="000000"/>
                <w:sz w:val="20"/>
                <w:szCs w:val="20"/>
                <w:u w:val="none"/>
              </w:rPr>
            </w:pPr>
          </w:p>
        </w:tc>
        <w:tc>
          <w:tcPr>
            <w:tcW w:w="78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060BDD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207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54E4C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提高人居环境</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D1AD0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有效促进</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3A00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有效促进</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80639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6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7CA4E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142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C8BCB0">
            <w:pPr>
              <w:jc w:val="center"/>
              <w:rPr>
                <w:rFonts w:hint="eastAsia" w:ascii="宋体" w:hAnsi="宋体" w:eastAsia="宋体" w:cs="宋体"/>
                <w:i w:val="0"/>
                <w:color w:val="000000"/>
                <w:sz w:val="20"/>
                <w:szCs w:val="20"/>
                <w:u w:val="none"/>
              </w:rPr>
            </w:pPr>
          </w:p>
        </w:tc>
      </w:tr>
      <w:tr w14:paraId="25FBE603">
        <w:tblPrEx>
          <w:shd w:val="clear" w:color="auto" w:fill="auto"/>
          <w:tblCellMar>
            <w:top w:w="0" w:type="dxa"/>
            <w:left w:w="0" w:type="dxa"/>
            <w:bottom w:w="0" w:type="dxa"/>
            <w:right w:w="0" w:type="dxa"/>
          </w:tblCellMar>
        </w:tblPrEx>
        <w:trPr>
          <w:trHeight w:val="480" w:hRule="atLeast"/>
        </w:trPr>
        <w:tc>
          <w:tcPr>
            <w:tcW w:w="59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6BCAA27">
            <w:pPr>
              <w:jc w:val="center"/>
              <w:rPr>
                <w:rFonts w:hint="eastAsia" w:ascii="宋体" w:hAnsi="宋体" w:eastAsia="宋体" w:cs="宋体"/>
                <w:i w:val="0"/>
                <w:color w:val="000000"/>
                <w:sz w:val="20"/>
                <w:szCs w:val="20"/>
                <w:u w:val="none"/>
              </w:rPr>
            </w:pPr>
          </w:p>
        </w:tc>
        <w:tc>
          <w:tcPr>
            <w:tcW w:w="4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705574">
            <w:pPr>
              <w:jc w:val="center"/>
              <w:rPr>
                <w:rFonts w:hint="eastAsia" w:ascii="宋体" w:hAnsi="宋体" w:eastAsia="宋体" w:cs="宋体"/>
                <w:i w:val="0"/>
                <w:color w:val="000000"/>
                <w:sz w:val="20"/>
                <w:szCs w:val="20"/>
                <w:u w:val="none"/>
              </w:rPr>
            </w:pPr>
          </w:p>
        </w:tc>
        <w:tc>
          <w:tcPr>
            <w:tcW w:w="78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CF8AFD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生态效益指标</w:t>
            </w:r>
          </w:p>
        </w:tc>
        <w:tc>
          <w:tcPr>
            <w:tcW w:w="207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0FAD8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改善生态环境</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39CFE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有效促进</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73CFA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有效促进</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05160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6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C290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142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7E77E8">
            <w:pPr>
              <w:jc w:val="center"/>
              <w:rPr>
                <w:rFonts w:hint="eastAsia" w:ascii="宋体" w:hAnsi="宋体" w:eastAsia="宋体" w:cs="宋体"/>
                <w:i w:val="0"/>
                <w:color w:val="000000"/>
                <w:sz w:val="20"/>
                <w:szCs w:val="20"/>
                <w:u w:val="none"/>
              </w:rPr>
            </w:pPr>
          </w:p>
        </w:tc>
      </w:tr>
      <w:tr w14:paraId="1BF8166E">
        <w:tblPrEx>
          <w:tblCellMar>
            <w:top w:w="0" w:type="dxa"/>
            <w:left w:w="0" w:type="dxa"/>
            <w:bottom w:w="0" w:type="dxa"/>
            <w:right w:w="0" w:type="dxa"/>
          </w:tblCellMar>
        </w:tblPrEx>
        <w:trPr>
          <w:trHeight w:val="640" w:hRule="atLeast"/>
        </w:trPr>
        <w:tc>
          <w:tcPr>
            <w:tcW w:w="59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3E23B94">
            <w:pPr>
              <w:jc w:val="center"/>
              <w:rPr>
                <w:rFonts w:hint="eastAsia" w:ascii="宋体" w:hAnsi="宋体" w:eastAsia="宋体" w:cs="宋体"/>
                <w:i w:val="0"/>
                <w:color w:val="000000"/>
                <w:sz w:val="20"/>
                <w:szCs w:val="20"/>
                <w:u w:val="none"/>
              </w:rPr>
            </w:pPr>
          </w:p>
        </w:tc>
        <w:tc>
          <w:tcPr>
            <w:tcW w:w="4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81A49">
            <w:pPr>
              <w:jc w:val="center"/>
              <w:rPr>
                <w:rFonts w:hint="eastAsia" w:ascii="宋体" w:hAnsi="宋体" w:eastAsia="宋体" w:cs="宋体"/>
                <w:i w:val="0"/>
                <w:color w:val="000000"/>
                <w:sz w:val="20"/>
                <w:szCs w:val="20"/>
                <w:u w:val="none"/>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2AED5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可持续影响指标</w:t>
            </w:r>
          </w:p>
        </w:tc>
        <w:tc>
          <w:tcPr>
            <w:tcW w:w="207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2E10B4">
            <w:pPr>
              <w:jc w:val="left"/>
              <w:rPr>
                <w:rFonts w:hint="eastAsia" w:ascii="宋体" w:hAnsi="宋体" w:eastAsia="宋体" w:cs="宋体"/>
                <w:i w:val="0"/>
                <w:color w:val="000000"/>
                <w:sz w:val="20"/>
                <w:szCs w:val="20"/>
                <w:u w:val="none"/>
              </w:rPr>
            </w:pP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7DC213">
            <w:pPr>
              <w:jc w:val="center"/>
              <w:rPr>
                <w:rFonts w:hint="eastAsia" w:ascii="宋体" w:hAnsi="宋体" w:eastAsia="宋体" w:cs="宋体"/>
                <w:i w:val="0"/>
                <w:color w:val="000000"/>
                <w:sz w:val="20"/>
                <w:szCs w:val="20"/>
                <w:u w:val="none"/>
              </w:rPr>
            </w:pP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741BD0">
            <w:pPr>
              <w:jc w:val="center"/>
              <w:rPr>
                <w:rFonts w:hint="eastAsia" w:ascii="宋体" w:hAnsi="宋体" w:eastAsia="宋体" w:cs="宋体"/>
                <w:i w:val="0"/>
                <w:color w:val="000000"/>
                <w:sz w:val="20"/>
                <w:szCs w:val="20"/>
                <w:u w:val="none"/>
              </w:rPr>
            </w:pP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9044B5">
            <w:pPr>
              <w:jc w:val="center"/>
              <w:rPr>
                <w:rFonts w:hint="eastAsia" w:ascii="宋体" w:hAnsi="宋体" w:eastAsia="宋体" w:cs="宋体"/>
                <w:i w:val="0"/>
                <w:color w:val="000000"/>
                <w:sz w:val="20"/>
                <w:szCs w:val="20"/>
                <w:u w:val="none"/>
              </w:rPr>
            </w:pPr>
          </w:p>
        </w:tc>
        <w:tc>
          <w:tcPr>
            <w:tcW w:w="6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F216E1">
            <w:pPr>
              <w:jc w:val="center"/>
              <w:rPr>
                <w:rFonts w:hint="eastAsia" w:ascii="宋体" w:hAnsi="宋体" w:eastAsia="宋体" w:cs="宋体"/>
                <w:i w:val="0"/>
                <w:color w:val="000000"/>
                <w:sz w:val="20"/>
                <w:szCs w:val="20"/>
                <w:u w:val="none"/>
              </w:rPr>
            </w:pPr>
          </w:p>
        </w:tc>
        <w:tc>
          <w:tcPr>
            <w:tcW w:w="142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E3147">
            <w:pPr>
              <w:jc w:val="center"/>
              <w:rPr>
                <w:rFonts w:hint="eastAsia" w:ascii="宋体" w:hAnsi="宋体" w:eastAsia="宋体" w:cs="宋体"/>
                <w:i w:val="0"/>
                <w:color w:val="000000"/>
                <w:sz w:val="20"/>
                <w:szCs w:val="20"/>
                <w:u w:val="none"/>
              </w:rPr>
            </w:pPr>
          </w:p>
        </w:tc>
      </w:tr>
      <w:tr w14:paraId="27B94F9C">
        <w:tblPrEx>
          <w:shd w:val="clear" w:color="auto" w:fill="auto"/>
          <w:tblCellMar>
            <w:top w:w="0" w:type="dxa"/>
            <w:left w:w="0" w:type="dxa"/>
            <w:bottom w:w="0" w:type="dxa"/>
            <w:right w:w="0" w:type="dxa"/>
          </w:tblCellMar>
        </w:tblPrEx>
        <w:trPr>
          <w:trHeight w:val="840" w:hRule="atLeast"/>
        </w:trPr>
        <w:tc>
          <w:tcPr>
            <w:tcW w:w="59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9444B9C">
            <w:pPr>
              <w:jc w:val="center"/>
              <w:rPr>
                <w:rFonts w:hint="eastAsia" w:ascii="宋体" w:hAnsi="宋体" w:eastAsia="宋体" w:cs="宋体"/>
                <w:i w:val="0"/>
                <w:color w:val="000000"/>
                <w:sz w:val="20"/>
                <w:szCs w:val="20"/>
                <w:u w:val="none"/>
              </w:rPr>
            </w:pPr>
          </w:p>
        </w:tc>
        <w:tc>
          <w:tcPr>
            <w:tcW w:w="47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8FE36C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7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C3809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服务对象满意度指标</w:t>
            </w:r>
          </w:p>
        </w:tc>
        <w:tc>
          <w:tcPr>
            <w:tcW w:w="207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56AF6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受益群众满意度</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E7BA3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632FB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13A39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6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AE163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w:t>
            </w:r>
          </w:p>
        </w:tc>
        <w:tc>
          <w:tcPr>
            <w:tcW w:w="142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BE5C17">
            <w:pPr>
              <w:jc w:val="center"/>
              <w:rPr>
                <w:rFonts w:hint="eastAsia" w:ascii="宋体" w:hAnsi="宋体" w:eastAsia="宋体" w:cs="宋体"/>
                <w:i w:val="0"/>
                <w:color w:val="000000"/>
                <w:sz w:val="20"/>
                <w:szCs w:val="20"/>
                <w:u w:val="none"/>
              </w:rPr>
            </w:pPr>
          </w:p>
        </w:tc>
      </w:tr>
      <w:tr w14:paraId="2F0C02DE">
        <w:tblPrEx>
          <w:shd w:val="clear" w:color="auto" w:fill="auto"/>
          <w:tblCellMar>
            <w:top w:w="0" w:type="dxa"/>
            <w:left w:w="0" w:type="dxa"/>
            <w:bottom w:w="0" w:type="dxa"/>
            <w:right w:w="0" w:type="dxa"/>
          </w:tblCellMar>
        </w:tblPrEx>
        <w:trPr>
          <w:trHeight w:val="319" w:hRule="atLeast"/>
        </w:trPr>
        <w:tc>
          <w:tcPr>
            <w:tcW w:w="5509"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3E4B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总分</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83F7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6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1E7D7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99</w:t>
            </w:r>
          </w:p>
        </w:tc>
        <w:tc>
          <w:tcPr>
            <w:tcW w:w="142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59B3B5">
            <w:pPr>
              <w:jc w:val="center"/>
              <w:rPr>
                <w:rFonts w:hint="eastAsia" w:ascii="宋体" w:hAnsi="宋体" w:eastAsia="宋体" w:cs="宋体"/>
                <w:i w:val="0"/>
                <w:color w:val="000000"/>
                <w:sz w:val="20"/>
                <w:szCs w:val="20"/>
                <w:u w:val="none"/>
              </w:rPr>
            </w:pPr>
          </w:p>
        </w:tc>
      </w:tr>
    </w:tbl>
    <w:p w14:paraId="614C628B">
      <w:pPr>
        <w:numPr>
          <w:ilvl w:val="0"/>
          <w:numId w:val="0"/>
        </w:numPr>
        <w:spacing w:line="540" w:lineRule="exact"/>
        <w:rPr>
          <w:rFonts w:hint="eastAsia" w:ascii="仿宋_GB2312" w:eastAsia="仿宋_GB2312"/>
          <w:sz w:val="32"/>
          <w:szCs w:val="32"/>
          <w:highlight w:val="none"/>
        </w:rPr>
      </w:pPr>
    </w:p>
    <w:p w14:paraId="760D4BD1">
      <w:pPr>
        <w:spacing w:line="540" w:lineRule="exact"/>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剩余项目绩效以附件形式上传。</w:t>
      </w:r>
    </w:p>
    <w:p w14:paraId="7309173A">
      <w:pPr>
        <w:spacing w:line="540" w:lineRule="exact"/>
        <w:jc w:val="center"/>
        <w:rPr>
          <w:rFonts w:ascii="黑体" w:hAnsi="黑体" w:eastAsia="黑体"/>
          <w:sz w:val="32"/>
          <w:szCs w:val="32"/>
          <w:highlight w:val="none"/>
        </w:rPr>
      </w:pPr>
    </w:p>
    <w:p w14:paraId="273D7633">
      <w:pPr>
        <w:spacing w:line="540" w:lineRule="exact"/>
        <w:jc w:val="center"/>
        <w:rPr>
          <w:rFonts w:ascii="黑体" w:hAnsi="黑体" w:eastAsia="黑体"/>
          <w:sz w:val="32"/>
          <w:szCs w:val="32"/>
          <w:highlight w:val="none"/>
        </w:rPr>
      </w:pPr>
      <w:r>
        <w:rPr>
          <w:rFonts w:hint="eastAsia" w:ascii="黑体" w:hAnsi="黑体" w:eastAsia="黑体"/>
          <w:sz w:val="32"/>
          <w:szCs w:val="32"/>
          <w:highlight w:val="none"/>
        </w:rPr>
        <w:t>第三部分 专业名词解释</w:t>
      </w:r>
    </w:p>
    <w:p w14:paraId="77AB5BA0">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财政拨款收入：指同级财政当年拨付的资金。</w:t>
      </w:r>
    </w:p>
    <w:p w14:paraId="3C428722">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上级补助收入：指事业单位从主管部门和上级单位取得的非财政补助收入。</w:t>
      </w:r>
    </w:p>
    <w:p w14:paraId="11DCCDAB">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事业收入：指事业单位开展专业业务活动及其辅助活动所取得的收入。</w:t>
      </w:r>
    </w:p>
    <w:p w14:paraId="46CC3334">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经营收入：指事业单位在专业业务活动及其辅助活动之外开展非独立核算经营活动取得的收入。</w:t>
      </w:r>
    </w:p>
    <w:p w14:paraId="48D824A8">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附属单位上缴收入：指事业单位附属的独立核算单位按有关规定上缴的收入。</w:t>
      </w:r>
    </w:p>
    <w:p w14:paraId="4A07C005">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其他收入：指除上述“财政拨款收入”、“事业收入”、“经营收入”、“附属单位上缴收入”等之外取得的收入。</w:t>
      </w:r>
    </w:p>
    <w:p w14:paraId="1CB3B7DC">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14:paraId="10619F93">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上年结转和结余：指以前年度支出预算因客观条件变化未执行完毕、结转到本年度按有关规定继续使用的资金，既包括财政拨款结转和结余，也包括事业收入、经营收入、其他收入的结转和结余。</w:t>
      </w:r>
    </w:p>
    <w:p w14:paraId="019CF0BA">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结余分配：反映单位当年结余的分配情况。</w:t>
      </w:r>
    </w:p>
    <w:p w14:paraId="24FC6B37">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14:paraId="3BC458B6">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基本支出：指为保障机构正常运转、完成日常工作任务而发生的人员支出和公用支出。</w:t>
      </w:r>
    </w:p>
    <w:p w14:paraId="3ACCE243">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项目支出：指在基本支出之外为完成特定行政任务和事业发展目标所发生的支出。</w:t>
      </w:r>
    </w:p>
    <w:p w14:paraId="40E1B580">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经营支出：指事业单位在专业业务活动及其辅助活动之外开展非独立核算经营活动发生的支出。</w:t>
      </w:r>
    </w:p>
    <w:p w14:paraId="07145FEC">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对附属单位补助支出：指事业单位发生的用非财政预算资金对附属单位的补助支出。</w:t>
      </w:r>
    </w:p>
    <w:p w14:paraId="0FE5D33C">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6BE82F2">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A6AFC22">
      <w:pPr>
        <w:spacing w:line="540" w:lineRule="exact"/>
        <w:jc w:val="left"/>
        <w:rPr>
          <w:rFonts w:hint="eastAsia" w:ascii="宋体" w:hAnsi="宋体"/>
          <w:sz w:val="28"/>
          <w:szCs w:val="28"/>
        </w:rPr>
      </w:pPr>
      <w:r>
        <w:rPr>
          <w:rFonts w:hint="eastAsia" w:ascii="宋体" w:hAnsi="宋体"/>
          <w:sz w:val="28"/>
          <w:szCs w:val="28"/>
        </w:rPr>
        <w:t>本单位支出功能分类说明。208</w:t>
      </w:r>
      <w:r>
        <w:rPr>
          <w:rFonts w:hint="eastAsia" w:ascii="宋体" w:hAnsi="宋体"/>
          <w:sz w:val="28"/>
          <w:szCs w:val="28"/>
          <w:lang w:eastAsia="zh-CN"/>
        </w:rPr>
        <w:t>（类）</w:t>
      </w:r>
      <w:r>
        <w:rPr>
          <w:rFonts w:hint="eastAsia" w:ascii="宋体" w:hAnsi="宋体"/>
          <w:sz w:val="28"/>
          <w:szCs w:val="28"/>
        </w:rPr>
        <w:t>05</w:t>
      </w:r>
      <w:r>
        <w:rPr>
          <w:rFonts w:hint="eastAsia" w:ascii="宋体" w:hAnsi="宋体"/>
          <w:sz w:val="28"/>
          <w:szCs w:val="28"/>
          <w:lang w:eastAsia="zh-CN"/>
        </w:rPr>
        <w:t>（款）</w:t>
      </w:r>
      <w:r>
        <w:rPr>
          <w:rFonts w:hint="eastAsia" w:ascii="宋体" w:hAnsi="宋体"/>
          <w:sz w:val="28"/>
          <w:szCs w:val="28"/>
        </w:rPr>
        <w:t>01</w:t>
      </w:r>
      <w:r>
        <w:rPr>
          <w:rFonts w:hint="eastAsia" w:ascii="宋体" w:hAnsi="宋体"/>
          <w:sz w:val="28"/>
          <w:szCs w:val="28"/>
          <w:lang w:eastAsia="zh-CN"/>
        </w:rPr>
        <w:t>（项）指：</w:t>
      </w:r>
      <w:r>
        <w:rPr>
          <w:rFonts w:hint="eastAsia" w:ascii="宋体" w:hAnsi="宋体"/>
          <w:sz w:val="28"/>
          <w:szCs w:val="28"/>
        </w:rPr>
        <w:t>归口管理的行政单位离退休</w:t>
      </w:r>
    </w:p>
    <w:p w14:paraId="657BE98B">
      <w:pPr>
        <w:spacing w:line="540" w:lineRule="exact"/>
        <w:jc w:val="left"/>
        <w:rPr>
          <w:rFonts w:hint="eastAsia" w:ascii="宋体" w:hAnsi="宋体"/>
          <w:sz w:val="28"/>
          <w:szCs w:val="28"/>
        </w:rPr>
      </w:pPr>
      <w:r>
        <w:rPr>
          <w:rFonts w:hint="eastAsia" w:ascii="宋体" w:hAnsi="宋体"/>
          <w:sz w:val="28"/>
          <w:szCs w:val="28"/>
        </w:rPr>
        <w:t>208</w:t>
      </w:r>
      <w:r>
        <w:rPr>
          <w:rFonts w:hint="eastAsia" w:ascii="宋体" w:hAnsi="宋体"/>
          <w:sz w:val="28"/>
          <w:szCs w:val="28"/>
          <w:lang w:eastAsia="zh-CN"/>
        </w:rPr>
        <w:t>（类）</w:t>
      </w:r>
      <w:r>
        <w:rPr>
          <w:rFonts w:hint="eastAsia" w:ascii="宋体" w:hAnsi="宋体"/>
          <w:sz w:val="28"/>
          <w:szCs w:val="28"/>
        </w:rPr>
        <w:t>05</w:t>
      </w:r>
      <w:r>
        <w:rPr>
          <w:rFonts w:hint="eastAsia" w:ascii="宋体" w:hAnsi="宋体"/>
          <w:sz w:val="28"/>
          <w:szCs w:val="28"/>
          <w:lang w:eastAsia="zh-CN"/>
        </w:rPr>
        <w:t>（款）</w:t>
      </w:r>
      <w:r>
        <w:rPr>
          <w:rFonts w:hint="eastAsia" w:ascii="宋体" w:hAnsi="宋体"/>
          <w:sz w:val="28"/>
          <w:szCs w:val="28"/>
        </w:rPr>
        <w:t>02</w:t>
      </w:r>
      <w:r>
        <w:rPr>
          <w:rFonts w:hint="eastAsia" w:ascii="宋体" w:hAnsi="宋体"/>
          <w:sz w:val="28"/>
          <w:szCs w:val="28"/>
          <w:lang w:eastAsia="zh-CN"/>
        </w:rPr>
        <w:t>（项）指：</w:t>
      </w:r>
      <w:r>
        <w:rPr>
          <w:rFonts w:hint="eastAsia" w:ascii="宋体" w:hAnsi="宋体"/>
          <w:sz w:val="28"/>
          <w:szCs w:val="28"/>
        </w:rPr>
        <w:t>事业单位离退休</w:t>
      </w:r>
    </w:p>
    <w:p w14:paraId="76990599">
      <w:pPr>
        <w:spacing w:line="540" w:lineRule="exact"/>
        <w:jc w:val="left"/>
        <w:rPr>
          <w:rFonts w:hint="eastAsia" w:ascii="宋体" w:hAnsi="宋体"/>
          <w:sz w:val="28"/>
          <w:szCs w:val="28"/>
        </w:rPr>
      </w:pPr>
      <w:r>
        <w:rPr>
          <w:rFonts w:hint="eastAsia" w:ascii="宋体" w:hAnsi="宋体"/>
          <w:sz w:val="28"/>
          <w:szCs w:val="28"/>
        </w:rPr>
        <w:t>208</w:t>
      </w:r>
      <w:r>
        <w:rPr>
          <w:rFonts w:hint="eastAsia" w:ascii="宋体" w:hAnsi="宋体"/>
          <w:sz w:val="28"/>
          <w:szCs w:val="28"/>
          <w:lang w:eastAsia="zh-CN"/>
        </w:rPr>
        <w:t>（类）</w:t>
      </w:r>
      <w:r>
        <w:rPr>
          <w:rFonts w:hint="eastAsia" w:ascii="宋体" w:hAnsi="宋体"/>
          <w:sz w:val="28"/>
          <w:szCs w:val="28"/>
        </w:rPr>
        <w:t>05</w:t>
      </w:r>
      <w:r>
        <w:rPr>
          <w:rFonts w:hint="eastAsia" w:ascii="宋体" w:hAnsi="宋体"/>
          <w:sz w:val="28"/>
          <w:szCs w:val="28"/>
          <w:lang w:eastAsia="zh-CN"/>
        </w:rPr>
        <w:t>（款）</w:t>
      </w:r>
      <w:r>
        <w:rPr>
          <w:rFonts w:hint="eastAsia" w:ascii="宋体" w:hAnsi="宋体"/>
          <w:sz w:val="28"/>
          <w:szCs w:val="28"/>
        </w:rPr>
        <w:t>05</w:t>
      </w:r>
      <w:r>
        <w:rPr>
          <w:rFonts w:hint="eastAsia" w:ascii="宋体" w:hAnsi="宋体"/>
          <w:sz w:val="28"/>
          <w:szCs w:val="28"/>
          <w:lang w:eastAsia="zh-CN"/>
        </w:rPr>
        <w:t>（项）指：</w:t>
      </w:r>
      <w:r>
        <w:rPr>
          <w:rFonts w:hint="eastAsia" w:ascii="宋体" w:hAnsi="宋体"/>
          <w:sz w:val="28"/>
          <w:szCs w:val="28"/>
        </w:rPr>
        <w:t>机关事业单位基本养老保险缴费支出</w:t>
      </w:r>
    </w:p>
    <w:p w14:paraId="2BA6A818">
      <w:pPr>
        <w:spacing w:line="540" w:lineRule="exact"/>
        <w:jc w:val="left"/>
        <w:rPr>
          <w:rFonts w:hint="eastAsia" w:ascii="宋体" w:hAnsi="宋体"/>
          <w:sz w:val="28"/>
          <w:szCs w:val="28"/>
        </w:rPr>
      </w:pPr>
      <w:r>
        <w:rPr>
          <w:rFonts w:hint="eastAsia" w:ascii="宋体" w:hAnsi="宋体"/>
          <w:sz w:val="28"/>
          <w:szCs w:val="28"/>
        </w:rPr>
        <w:t>208</w:t>
      </w:r>
      <w:r>
        <w:rPr>
          <w:rFonts w:hint="eastAsia" w:ascii="宋体" w:hAnsi="宋体"/>
          <w:sz w:val="28"/>
          <w:szCs w:val="28"/>
          <w:lang w:eastAsia="zh-CN"/>
        </w:rPr>
        <w:t>（类）</w:t>
      </w:r>
      <w:r>
        <w:rPr>
          <w:rFonts w:hint="eastAsia" w:ascii="宋体" w:hAnsi="宋体"/>
          <w:sz w:val="28"/>
          <w:szCs w:val="28"/>
        </w:rPr>
        <w:t>05</w:t>
      </w:r>
      <w:r>
        <w:rPr>
          <w:rFonts w:hint="eastAsia" w:ascii="宋体" w:hAnsi="宋体"/>
          <w:sz w:val="28"/>
          <w:szCs w:val="28"/>
          <w:lang w:eastAsia="zh-CN"/>
        </w:rPr>
        <w:t>（款）</w:t>
      </w:r>
      <w:r>
        <w:rPr>
          <w:rFonts w:hint="eastAsia" w:ascii="宋体" w:hAnsi="宋体"/>
          <w:sz w:val="28"/>
          <w:szCs w:val="28"/>
        </w:rPr>
        <w:t>06</w:t>
      </w:r>
      <w:r>
        <w:rPr>
          <w:rFonts w:hint="eastAsia" w:ascii="宋体" w:hAnsi="宋体"/>
          <w:sz w:val="28"/>
          <w:szCs w:val="28"/>
          <w:lang w:eastAsia="zh-CN"/>
        </w:rPr>
        <w:t>（项）指：</w:t>
      </w:r>
      <w:r>
        <w:rPr>
          <w:rFonts w:hint="eastAsia" w:ascii="宋体" w:hAnsi="宋体"/>
          <w:sz w:val="28"/>
          <w:szCs w:val="28"/>
        </w:rPr>
        <w:t>机关事业单位职业年金缴费支出</w:t>
      </w:r>
    </w:p>
    <w:p w14:paraId="0E986879">
      <w:pPr>
        <w:spacing w:line="540" w:lineRule="exact"/>
        <w:jc w:val="left"/>
        <w:rPr>
          <w:rFonts w:hint="eastAsia" w:ascii="宋体" w:hAnsi="宋体"/>
          <w:sz w:val="28"/>
          <w:szCs w:val="28"/>
        </w:rPr>
      </w:pPr>
      <w:r>
        <w:rPr>
          <w:rFonts w:hint="eastAsia" w:ascii="宋体" w:hAnsi="宋体"/>
          <w:sz w:val="28"/>
          <w:szCs w:val="28"/>
        </w:rPr>
        <w:t>210</w:t>
      </w:r>
      <w:r>
        <w:rPr>
          <w:rFonts w:hint="eastAsia" w:ascii="宋体" w:hAnsi="宋体"/>
          <w:sz w:val="28"/>
          <w:szCs w:val="28"/>
          <w:lang w:eastAsia="zh-CN"/>
        </w:rPr>
        <w:t>（类）</w:t>
      </w:r>
      <w:r>
        <w:rPr>
          <w:rFonts w:hint="eastAsia" w:ascii="宋体" w:hAnsi="宋体"/>
          <w:sz w:val="28"/>
          <w:szCs w:val="28"/>
        </w:rPr>
        <w:t>11</w:t>
      </w:r>
      <w:r>
        <w:rPr>
          <w:rFonts w:hint="eastAsia" w:ascii="宋体" w:hAnsi="宋体"/>
          <w:sz w:val="28"/>
          <w:szCs w:val="28"/>
          <w:lang w:eastAsia="zh-CN"/>
        </w:rPr>
        <w:t>（款）</w:t>
      </w:r>
      <w:r>
        <w:rPr>
          <w:rFonts w:hint="eastAsia" w:ascii="宋体" w:hAnsi="宋体"/>
          <w:sz w:val="28"/>
          <w:szCs w:val="28"/>
        </w:rPr>
        <w:t>01</w:t>
      </w:r>
      <w:r>
        <w:rPr>
          <w:rFonts w:hint="eastAsia" w:ascii="宋体" w:hAnsi="宋体"/>
          <w:sz w:val="28"/>
          <w:szCs w:val="28"/>
          <w:lang w:eastAsia="zh-CN"/>
        </w:rPr>
        <w:t>（项）指：</w:t>
      </w:r>
      <w:r>
        <w:rPr>
          <w:rFonts w:hint="eastAsia" w:ascii="宋体" w:hAnsi="宋体"/>
          <w:sz w:val="28"/>
          <w:szCs w:val="28"/>
        </w:rPr>
        <w:t>行政单位医疗</w:t>
      </w:r>
    </w:p>
    <w:p w14:paraId="0C27466A">
      <w:pPr>
        <w:spacing w:line="540" w:lineRule="exact"/>
        <w:jc w:val="left"/>
        <w:rPr>
          <w:rFonts w:hint="eastAsia" w:ascii="宋体" w:hAnsi="宋体"/>
          <w:sz w:val="28"/>
          <w:szCs w:val="28"/>
        </w:rPr>
      </w:pPr>
      <w:r>
        <w:rPr>
          <w:rFonts w:hint="eastAsia" w:ascii="宋体" w:hAnsi="宋体"/>
          <w:sz w:val="28"/>
          <w:szCs w:val="28"/>
        </w:rPr>
        <w:t>210</w:t>
      </w:r>
      <w:r>
        <w:rPr>
          <w:rFonts w:hint="eastAsia" w:ascii="宋体" w:hAnsi="宋体"/>
          <w:sz w:val="28"/>
          <w:szCs w:val="28"/>
          <w:lang w:eastAsia="zh-CN"/>
        </w:rPr>
        <w:t>（类）</w:t>
      </w:r>
      <w:r>
        <w:rPr>
          <w:rFonts w:hint="eastAsia" w:ascii="宋体" w:hAnsi="宋体"/>
          <w:sz w:val="28"/>
          <w:szCs w:val="28"/>
        </w:rPr>
        <w:t>11</w:t>
      </w:r>
      <w:r>
        <w:rPr>
          <w:rFonts w:hint="eastAsia" w:ascii="宋体" w:hAnsi="宋体"/>
          <w:sz w:val="28"/>
          <w:szCs w:val="28"/>
          <w:lang w:eastAsia="zh-CN"/>
        </w:rPr>
        <w:t>（款）</w:t>
      </w:r>
      <w:r>
        <w:rPr>
          <w:rFonts w:hint="eastAsia" w:ascii="宋体" w:hAnsi="宋体"/>
          <w:sz w:val="28"/>
          <w:szCs w:val="28"/>
        </w:rPr>
        <w:t>02</w:t>
      </w:r>
      <w:r>
        <w:rPr>
          <w:rFonts w:hint="eastAsia" w:ascii="宋体" w:hAnsi="宋体"/>
          <w:sz w:val="28"/>
          <w:szCs w:val="28"/>
          <w:lang w:eastAsia="zh-CN"/>
        </w:rPr>
        <w:t>（项）指：</w:t>
      </w:r>
      <w:r>
        <w:rPr>
          <w:rFonts w:hint="eastAsia" w:ascii="宋体" w:hAnsi="宋体"/>
          <w:sz w:val="28"/>
          <w:szCs w:val="28"/>
        </w:rPr>
        <w:t>事业单位医疗</w:t>
      </w:r>
    </w:p>
    <w:p w14:paraId="1E4FADA8">
      <w:pPr>
        <w:spacing w:line="540" w:lineRule="exact"/>
        <w:jc w:val="left"/>
        <w:rPr>
          <w:rFonts w:hint="eastAsia" w:ascii="宋体" w:hAnsi="宋体"/>
          <w:sz w:val="28"/>
          <w:szCs w:val="28"/>
        </w:rPr>
      </w:pPr>
      <w:r>
        <w:rPr>
          <w:rFonts w:hint="eastAsia" w:ascii="宋体" w:hAnsi="宋体"/>
          <w:sz w:val="28"/>
          <w:szCs w:val="28"/>
        </w:rPr>
        <w:t>210</w:t>
      </w:r>
      <w:r>
        <w:rPr>
          <w:rFonts w:hint="eastAsia" w:ascii="宋体" w:hAnsi="宋体"/>
          <w:sz w:val="28"/>
          <w:szCs w:val="28"/>
          <w:lang w:eastAsia="zh-CN"/>
        </w:rPr>
        <w:t>（类）</w:t>
      </w:r>
      <w:r>
        <w:rPr>
          <w:rFonts w:hint="eastAsia" w:ascii="宋体" w:hAnsi="宋体"/>
          <w:sz w:val="28"/>
          <w:szCs w:val="28"/>
        </w:rPr>
        <w:t>11</w:t>
      </w:r>
      <w:r>
        <w:rPr>
          <w:rFonts w:hint="eastAsia" w:ascii="宋体" w:hAnsi="宋体"/>
          <w:sz w:val="28"/>
          <w:szCs w:val="28"/>
          <w:lang w:eastAsia="zh-CN"/>
        </w:rPr>
        <w:t>（款）</w:t>
      </w:r>
      <w:r>
        <w:rPr>
          <w:rFonts w:hint="eastAsia" w:ascii="宋体" w:hAnsi="宋体"/>
          <w:sz w:val="28"/>
          <w:szCs w:val="28"/>
        </w:rPr>
        <w:t>03</w:t>
      </w:r>
      <w:r>
        <w:rPr>
          <w:rFonts w:hint="eastAsia" w:ascii="宋体" w:hAnsi="宋体"/>
          <w:sz w:val="28"/>
          <w:szCs w:val="28"/>
          <w:lang w:eastAsia="zh-CN"/>
        </w:rPr>
        <w:t>（项）指：</w:t>
      </w:r>
      <w:r>
        <w:rPr>
          <w:rFonts w:hint="eastAsia" w:ascii="宋体" w:hAnsi="宋体"/>
          <w:sz w:val="28"/>
          <w:szCs w:val="28"/>
        </w:rPr>
        <w:t>公务员医疗补助</w:t>
      </w:r>
    </w:p>
    <w:p w14:paraId="2CA353CF">
      <w:pPr>
        <w:spacing w:line="540" w:lineRule="exact"/>
        <w:jc w:val="left"/>
        <w:rPr>
          <w:rFonts w:hint="eastAsia" w:ascii="宋体" w:hAnsi="宋体"/>
          <w:sz w:val="28"/>
          <w:szCs w:val="28"/>
        </w:rPr>
      </w:pPr>
      <w:r>
        <w:rPr>
          <w:rFonts w:hint="eastAsia" w:ascii="宋体" w:hAnsi="宋体"/>
          <w:sz w:val="28"/>
          <w:szCs w:val="28"/>
        </w:rPr>
        <w:t>211</w:t>
      </w:r>
      <w:r>
        <w:rPr>
          <w:rFonts w:hint="eastAsia" w:ascii="宋体" w:hAnsi="宋体"/>
          <w:sz w:val="28"/>
          <w:szCs w:val="28"/>
          <w:lang w:eastAsia="zh-CN"/>
        </w:rPr>
        <w:t>（类）</w:t>
      </w:r>
      <w:r>
        <w:rPr>
          <w:rFonts w:hint="eastAsia" w:ascii="宋体" w:hAnsi="宋体"/>
          <w:sz w:val="28"/>
          <w:szCs w:val="28"/>
        </w:rPr>
        <w:t>06</w:t>
      </w:r>
      <w:r>
        <w:rPr>
          <w:rFonts w:hint="eastAsia" w:ascii="宋体" w:hAnsi="宋体"/>
          <w:sz w:val="28"/>
          <w:szCs w:val="28"/>
          <w:lang w:eastAsia="zh-CN"/>
        </w:rPr>
        <w:t>（款）</w:t>
      </w:r>
      <w:r>
        <w:rPr>
          <w:rFonts w:hint="eastAsia" w:ascii="宋体" w:hAnsi="宋体"/>
          <w:sz w:val="28"/>
          <w:szCs w:val="28"/>
        </w:rPr>
        <w:t>02</w:t>
      </w:r>
      <w:r>
        <w:rPr>
          <w:rFonts w:hint="eastAsia" w:ascii="宋体" w:hAnsi="宋体"/>
          <w:sz w:val="28"/>
          <w:szCs w:val="28"/>
          <w:lang w:eastAsia="zh-CN"/>
        </w:rPr>
        <w:t>（项）指：</w:t>
      </w:r>
      <w:r>
        <w:rPr>
          <w:rFonts w:hint="eastAsia" w:ascii="宋体" w:hAnsi="宋体"/>
          <w:sz w:val="28"/>
          <w:szCs w:val="28"/>
        </w:rPr>
        <w:t>退耕现金</w:t>
      </w:r>
    </w:p>
    <w:p w14:paraId="64BBA52B">
      <w:pPr>
        <w:spacing w:line="540" w:lineRule="exact"/>
        <w:jc w:val="left"/>
        <w:rPr>
          <w:rFonts w:hint="eastAsia" w:ascii="宋体" w:hAnsi="宋体"/>
          <w:sz w:val="28"/>
          <w:szCs w:val="28"/>
        </w:rPr>
      </w:pPr>
      <w:r>
        <w:rPr>
          <w:rFonts w:hint="eastAsia" w:ascii="宋体" w:hAnsi="宋体"/>
          <w:sz w:val="28"/>
          <w:szCs w:val="28"/>
        </w:rPr>
        <w:t>212</w:t>
      </w:r>
      <w:r>
        <w:rPr>
          <w:rFonts w:hint="eastAsia" w:ascii="宋体" w:hAnsi="宋体"/>
          <w:sz w:val="28"/>
          <w:szCs w:val="28"/>
          <w:lang w:eastAsia="zh-CN"/>
        </w:rPr>
        <w:t>（类）</w:t>
      </w:r>
      <w:r>
        <w:rPr>
          <w:rFonts w:hint="eastAsia" w:ascii="宋体" w:hAnsi="宋体"/>
          <w:sz w:val="28"/>
          <w:szCs w:val="28"/>
        </w:rPr>
        <w:t>02</w:t>
      </w:r>
      <w:r>
        <w:rPr>
          <w:rFonts w:hint="eastAsia" w:ascii="宋体" w:hAnsi="宋体"/>
          <w:sz w:val="28"/>
          <w:szCs w:val="28"/>
          <w:lang w:eastAsia="zh-CN"/>
        </w:rPr>
        <w:t>（款）</w:t>
      </w:r>
      <w:r>
        <w:rPr>
          <w:rFonts w:hint="eastAsia" w:ascii="宋体" w:hAnsi="宋体"/>
          <w:sz w:val="28"/>
          <w:szCs w:val="28"/>
        </w:rPr>
        <w:t>01</w:t>
      </w:r>
      <w:r>
        <w:rPr>
          <w:rFonts w:hint="eastAsia" w:ascii="宋体" w:hAnsi="宋体"/>
          <w:sz w:val="28"/>
          <w:szCs w:val="28"/>
          <w:lang w:eastAsia="zh-CN"/>
        </w:rPr>
        <w:t>（项）指：</w:t>
      </w:r>
      <w:r>
        <w:rPr>
          <w:rFonts w:hint="eastAsia" w:ascii="宋体" w:hAnsi="宋体"/>
          <w:sz w:val="28"/>
          <w:szCs w:val="28"/>
        </w:rPr>
        <w:t>城乡社区规划与管理</w:t>
      </w:r>
    </w:p>
    <w:p w14:paraId="77280E7C">
      <w:pPr>
        <w:spacing w:line="540" w:lineRule="exact"/>
        <w:jc w:val="left"/>
        <w:rPr>
          <w:rFonts w:hint="eastAsia" w:ascii="宋体" w:hAnsi="宋体"/>
          <w:sz w:val="28"/>
          <w:szCs w:val="28"/>
        </w:rPr>
      </w:pPr>
      <w:r>
        <w:rPr>
          <w:rFonts w:hint="eastAsia" w:ascii="宋体" w:hAnsi="宋体"/>
          <w:sz w:val="28"/>
          <w:szCs w:val="28"/>
        </w:rPr>
        <w:t>212</w:t>
      </w:r>
      <w:r>
        <w:rPr>
          <w:rFonts w:hint="eastAsia" w:ascii="宋体" w:hAnsi="宋体"/>
          <w:sz w:val="28"/>
          <w:szCs w:val="28"/>
          <w:lang w:eastAsia="zh-CN"/>
        </w:rPr>
        <w:t>（类）</w:t>
      </w:r>
      <w:r>
        <w:rPr>
          <w:rFonts w:hint="eastAsia" w:ascii="宋体" w:hAnsi="宋体"/>
          <w:sz w:val="28"/>
          <w:szCs w:val="28"/>
        </w:rPr>
        <w:t>08</w:t>
      </w:r>
      <w:r>
        <w:rPr>
          <w:rFonts w:hint="eastAsia" w:ascii="宋体" w:hAnsi="宋体"/>
          <w:sz w:val="28"/>
          <w:szCs w:val="28"/>
          <w:lang w:eastAsia="zh-CN"/>
        </w:rPr>
        <w:t>（款）</w:t>
      </w:r>
      <w:r>
        <w:rPr>
          <w:rFonts w:hint="eastAsia" w:ascii="宋体" w:hAnsi="宋体"/>
          <w:sz w:val="28"/>
          <w:szCs w:val="28"/>
        </w:rPr>
        <w:t>01</w:t>
      </w:r>
      <w:r>
        <w:rPr>
          <w:rFonts w:hint="eastAsia" w:ascii="宋体" w:hAnsi="宋体"/>
          <w:sz w:val="28"/>
          <w:szCs w:val="28"/>
          <w:lang w:eastAsia="zh-CN"/>
        </w:rPr>
        <w:t>（项）指：</w:t>
      </w:r>
      <w:r>
        <w:rPr>
          <w:rFonts w:hint="eastAsia" w:ascii="宋体" w:hAnsi="宋体"/>
          <w:sz w:val="28"/>
          <w:szCs w:val="28"/>
        </w:rPr>
        <w:t>征地和拆迁补偿支出</w:t>
      </w:r>
    </w:p>
    <w:p w14:paraId="0EB4F79E">
      <w:pPr>
        <w:spacing w:line="540" w:lineRule="exact"/>
        <w:jc w:val="left"/>
        <w:rPr>
          <w:rFonts w:hint="eastAsia" w:ascii="宋体" w:hAnsi="宋体"/>
          <w:sz w:val="28"/>
          <w:szCs w:val="28"/>
        </w:rPr>
      </w:pPr>
      <w:r>
        <w:rPr>
          <w:rFonts w:hint="eastAsia" w:ascii="宋体" w:hAnsi="宋体"/>
          <w:sz w:val="28"/>
          <w:szCs w:val="28"/>
        </w:rPr>
        <w:t>212</w:t>
      </w:r>
      <w:r>
        <w:rPr>
          <w:rFonts w:hint="eastAsia" w:ascii="宋体" w:hAnsi="宋体"/>
          <w:sz w:val="28"/>
          <w:szCs w:val="28"/>
          <w:lang w:eastAsia="zh-CN"/>
        </w:rPr>
        <w:t>（类）</w:t>
      </w:r>
      <w:r>
        <w:rPr>
          <w:rFonts w:hint="eastAsia" w:ascii="宋体" w:hAnsi="宋体"/>
          <w:sz w:val="28"/>
          <w:szCs w:val="28"/>
        </w:rPr>
        <w:t>08</w:t>
      </w:r>
      <w:r>
        <w:rPr>
          <w:rFonts w:hint="eastAsia" w:ascii="宋体" w:hAnsi="宋体"/>
          <w:sz w:val="28"/>
          <w:szCs w:val="28"/>
          <w:lang w:eastAsia="zh-CN"/>
        </w:rPr>
        <w:t>（款）</w:t>
      </w:r>
      <w:r>
        <w:rPr>
          <w:rFonts w:hint="eastAsia" w:ascii="宋体" w:hAnsi="宋体"/>
          <w:sz w:val="28"/>
          <w:szCs w:val="28"/>
        </w:rPr>
        <w:t>02</w:t>
      </w:r>
      <w:r>
        <w:rPr>
          <w:rFonts w:hint="eastAsia" w:ascii="宋体" w:hAnsi="宋体"/>
          <w:sz w:val="28"/>
          <w:szCs w:val="28"/>
          <w:lang w:eastAsia="zh-CN"/>
        </w:rPr>
        <w:t>（项）指：</w:t>
      </w:r>
      <w:r>
        <w:rPr>
          <w:rFonts w:hint="eastAsia" w:ascii="宋体" w:hAnsi="宋体"/>
          <w:sz w:val="28"/>
          <w:szCs w:val="28"/>
        </w:rPr>
        <w:t>土地开发支出</w:t>
      </w:r>
    </w:p>
    <w:p w14:paraId="0FB4C2A7">
      <w:pPr>
        <w:spacing w:line="540" w:lineRule="exact"/>
        <w:jc w:val="left"/>
        <w:rPr>
          <w:rFonts w:hint="eastAsia" w:ascii="宋体" w:hAnsi="宋体"/>
          <w:sz w:val="28"/>
          <w:szCs w:val="28"/>
        </w:rPr>
      </w:pPr>
      <w:r>
        <w:rPr>
          <w:rFonts w:hint="eastAsia" w:ascii="宋体" w:hAnsi="宋体"/>
          <w:sz w:val="28"/>
          <w:szCs w:val="28"/>
        </w:rPr>
        <w:t>213</w:t>
      </w:r>
      <w:r>
        <w:rPr>
          <w:rFonts w:hint="eastAsia" w:ascii="宋体" w:hAnsi="宋体"/>
          <w:sz w:val="28"/>
          <w:szCs w:val="28"/>
          <w:lang w:eastAsia="zh-CN"/>
        </w:rPr>
        <w:t>（类）</w:t>
      </w:r>
      <w:r>
        <w:rPr>
          <w:rFonts w:hint="eastAsia" w:ascii="宋体" w:hAnsi="宋体"/>
          <w:sz w:val="28"/>
          <w:szCs w:val="28"/>
        </w:rPr>
        <w:t>01</w:t>
      </w:r>
      <w:r>
        <w:rPr>
          <w:rFonts w:hint="eastAsia" w:ascii="宋体" w:hAnsi="宋体"/>
          <w:sz w:val="28"/>
          <w:szCs w:val="28"/>
          <w:lang w:eastAsia="zh-CN"/>
        </w:rPr>
        <w:t>（款）</w:t>
      </w:r>
      <w:r>
        <w:rPr>
          <w:rFonts w:hint="eastAsia" w:ascii="宋体" w:hAnsi="宋体"/>
          <w:sz w:val="28"/>
          <w:szCs w:val="28"/>
        </w:rPr>
        <w:t>04</w:t>
      </w:r>
      <w:r>
        <w:rPr>
          <w:rFonts w:hint="eastAsia" w:ascii="宋体" w:hAnsi="宋体"/>
          <w:sz w:val="28"/>
          <w:szCs w:val="28"/>
          <w:lang w:eastAsia="zh-CN"/>
        </w:rPr>
        <w:t>（项）指：</w:t>
      </w:r>
      <w:r>
        <w:rPr>
          <w:rFonts w:hint="eastAsia" w:ascii="宋体" w:hAnsi="宋体"/>
          <w:sz w:val="28"/>
          <w:szCs w:val="28"/>
        </w:rPr>
        <w:t>事业运行</w:t>
      </w:r>
    </w:p>
    <w:p w14:paraId="5CD99793">
      <w:pPr>
        <w:spacing w:line="540" w:lineRule="exact"/>
        <w:jc w:val="left"/>
        <w:rPr>
          <w:rFonts w:hint="eastAsia" w:ascii="宋体" w:hAnsi="宋体"/>
          <w:sz w:val="28"/>
          <w:szCs w:val="28"/>
        </w:rPr>
      </w:pPr>
      <w:r>
        <w:rPr>
          <w:rFonts w:hint="eastAsia" w:ascii="宋体" w:hAnsi="宋体"/>
          <w:sz w:val="28"/>
          <w:szCs w:val="28"/>
        </w:rPr>
        <w:t>213</w:t>
      </w:r>
      <w:r>
        <w:rPr>
          <w:rFonts w:hint="eastAsia" w:ascii="宋体" w:hAnsi="宋体"/>
          <w:sz w:val="28"/>
          <w:szCs w:val="28"/>
          <w:lang w:eastAsia="zh-CN"/>
        </w:rPr>
        <w:t>（类）</w:t>
      </w:r>
      <w:r>
        <w:rPr>
          <w:rFonts w:hint="eastAsia" w:ascii="宋体" w:hAnsi="宋体"/>
          <w:sz w:val="28"/>
          <w:szCs w:val="28"/>
        </w:rPr>
        <w:t>01</w:t>
      </w:r>
      <w:r>
        <w:rPr>
          <w:rFonts w:hint="eastAsia" w:ascii="宋体" w:hAnsi="宋体"/>
          <w:sz w:val="28"/>
          <w:szCs w:val="28"/>
          <w:lang w:eastAsia="zh-CN"/>
        </w:rPr>
        <w:t>（款）</w:t>
      </w:r>
      <w:r>
        <w:rPr>
          <w:rFonts w:hint="eastAsia" w:ascii="宋体" w:hAnsi="宋体"/>
          <w:sz w:val="28"/>
          <w:szCs w:val="28"/>
        </w:rPr>
        <w:t>08</w:t>
      </w:r>
      <w:r>
        <w:rPr>
          <w:rFonts w:hint="eastAsia" w:ascii="宋体" w:hAnsi="宋体"/>
          <w:sz w:val="28"/>
          <w:szCs w:val="28"/>
          <w:lang w:eastAsia="zh-CN"/>
        </w:rPr>
        <w:t>（项）指：</w:t>
      </w:r>
      <w:r>
        <w:rPr>
          <w:rFonts w:hint="eastAsia" w:ascii="宋体" w:hAnsi="宋体"/>
          <w:sz w:val="28"/>
          <w:szCs w:val="28"/>
        </w:rPr>
        <w:t>病虫害控制</w:t>
      </w:r>
    </w:p>
    <w:p w14:paraId="5CFC4976">
      <w:pPr>
        <w:spacing w:line="540" w:lineRule="exact"/>
        <w:jc w:val="left"/>
        <w:rPr>
          <w:rFonts w:hint="eastAsia" w:ascii="宋体" w:hAnsi="宋体"/>
          <w:sz w:val="28"/>
          <w:szCs w:val="28"/>
        </w:rPr>
      </w:pPr>
      <w:r>
        <w:rPr>
          <w:rFonts w:hint="eastAsia" w:ascii="宋体" w:hAnsi="宋体"/>
          <w:sz w:val="28"/>
          <w:szCs w:val="28"/>
        </w:rPr>
        <w:t>213</w:t>
      </w:r>
      <w:r>
        <w:rPr>
          <w:rFonts w:hint="eastAsia" w:ascii="宋体" w:hAnsi="宋体"/>
          <w:sz w:val="28"/>
          <w:szCs w:val="28"/>
          <w:lang w:eastAsia="zh-CN"/>
        </w:rPr>
        <w:t>（类）</w:t>
      </w:r>
      <w:r>
        <w:rPr>
          <w:rFonts w:hint="eastAsia" w:ascii="宋体" w:hAnsi="宋体"/>
          <w:sz w:val="28"/>
          <w:szCs w:val="28"/>
        </w:rPr>
        <w:t>01</w:t>
      </w:r>
      <w:r>
        <w:rPr>
          <w:rFonts w:hint="eastAsia" w:ascii="宋体" w:hAnsi="宋体"/>
          <w:sz w:val="28"/>
          <w:szCs w:val="28"/>
          <w:lang w:eastAsia="zh-CN"/>
        </w:rPr>
        <w:t>（款）</w:t>
      </w:r>
      <w:r>
        <w:rPr>
          <w:rFonts w:hint="eastAsia" w:ascii="宋体" w:hAnsi="宋体"/>
          <w:sz w:val="28"/>
          <w:szCs w:val="28"/>
        </w:rPr>
        <w:t>10</w:t>
      </w:r>
      <w:r>
        <w:rPr>
          <w:rFonts w:hint="eastAsia" w:ascii="宋体" w:hAnsi="宋体"/>
          <w:sz w:val="28"/>
          <w:szCs w:val="28"/>
          <w:lang w:eastAsia="zh-CN"/>
        </w:rPr>
        <w:t>（项）指：</w:t>
      </w:r>
      <w:r>
        <w:rPr>
          <w:rFonts w:hint="eastAsia" w:ascii="宋体" w:hAnsi="宋体"/>
          <w:sz w:val="28"/>
          <w:szCs w:val="28"/>
        </w:rPr>
        <w:t>执法监管</w:t>
      </w:r>
    </w:p>
    <w:p w14:paraId="23FC3F0B">
      <w:pPr>
        <w:spacing w:line="540" w:lineRule="exact"/>
        <w:jc w:val="left"/>
        <w:rPr>
          <w:rFonts w:hint="eastAsia" w:ascii="宋体" w:hAnsi="宋体"/>
          <w:sz w:val="28"/>
          <w:szCs w:val="28"/>
        </w:rPr>
      </w:pPr>
      <w:r>
        <w:rPr>
          <w:rFonts w:hint="eastAsia" w:ascii="宋体" w:hAnsi="宋体"/>
          <w:sz w:val="28"/>
          <w:szCs w:val="28"/>
        </w:rPr>
        <w:t>213</w:t>
      </w:r>
      <w:r>
        <w:rPr>
          <w:rFonts w:hint="eastAsia" w:ascii="宋体" w:hAnsi="宋体"/>
          <w:sz w:val="28"/>
          <w:szCs w:val="28"/>
          <w:lang w:eastAsia="zh-CN"/>
        </w:rPr>
        <w:t>（类）</w:t>
      </w:r>
      <w:r>
        <w:rPr>
          <w:rFonts w:hint="eastAsia" w:ascii="宋体" w:hAnsi="宋体"/>
          <w:sz w:val="28"/>
          <w:szCs w:val="28"/>
        </w:rPr>
        <w:t>01</w:t>
      </w:r>
      <w:r>
        <w:rPr>
          <w:rFonts w:hint="eastAsia" w:ascii="宋体" w:hAnsi="宋体"/>
          <w:sz w:val="28"/>
          <w:szCs w:val="28"/>
          <w:lang w:eastAsia="zh-CN"/>
        </w:rPr>
        <w:t>（款）</w:t>
      </w:r>
      <w:r>
        <w:rPr>
          <w:rFonts w:hint="eastAsia" w:ascii="宋体" w:hAnsi="宋体"/>
          <w:sz w:val="28"/>
          <w:szCs w:val="28"/>
        </w:rPr>
        <w:t>35</w:t>
      </w:r>
      <w:r>
        <w:rPr>
          <w:rFonts w:hint="eastAsia" w:ascii="宋体" w:hAnsi="宋体"/>
          <w:sz w:val="28"/>
          <w:szCs w:val="28"/>
          <w:lang w:eastAsia="zh-CN"/>
        </w:rPr>
        <w:t>（项）指：</w:t>
      </w:r>
      <w:r>
        <w:rPr>
          <w:rFonts w:hint="eastAsia" w:ascii="宋体" w:hAnsi="宋体"/>
          <w:sz w:val="28"/>
          <w:szCs w:val="28"/>
        </w:rPr>
        <w:t>农业资源保护修复与利用</w:t>
      </w:r>
    </w:p>
    <w:p w14:paraId="21E4618A">
      <w:pPr>
        <w:spacing w:line="540" w:lineRule="exact"/>
        <w:jc w:val="left"/>
        <w:rPr>
          <w:rFonts w:hint="eastAsia" w:ascii="宋体" w:hAnsi="宋体"/>
          <w:sz w:val="28"/>
          <w:szCs w:val="28"/>
        </w:rPr>
      </w:pPr>
      <w:r>
        <w:rPr>
          <w:rFonts w:hint="eastAsia" w:ascii="宋体" w:hAnsi="宋体"/>
          <w:sz w:val="28"/>
          <w:szCs w:val="28"/>
        </w:rPr>
        <w:t>213</w:t>
      </w:r>
      <w:r>
        <w:rPr>
          <w:rFonts w:hint="eastAsia" w:ascii="宋体" w:hAnsi="宋体"/>
          <w:sz w:val="28"/>
          <w:szCs w:val="28"/>
          <w:lang w:eastAsia="zh-CN"/>
        </w:rPr>
        <w:t>（类）</w:t>
      </w:r>
      <w:r>
        <w:rPr>
          <w:rFonts w:hint="eastAsia" w:ascii="宋体" w:hAnsi="宋体"/>
          <w:sz w:val="28"/>
          <w:szCs w:val="28"/>
        </w:rPr>
        <w:t>01</w:t>
      </w:r>
      <w:r>
        <w:rPr>
          <w:rFonts w:hint="eastAsia" w:ascii="宋体" w:hAnsi="宋体"/>
          <w:sz w:val="28"/>
          <w:szCs w:val="28"/>
          <w:lang w:eastAsia="zh-CN"/>
        </w:rPr>
        <w:t>（款）</w:t>
      </w:r>
      <w:r>
        <w:rPr>
          <w:rFonts w:hint="eastAsia" w:ascii="宋体" w:hAnsi="宋体"/>
          <w:sz w:val="28"/>
          <w:szCs w:val="28"/>
        </w:rPr>
        <w:t>99</w:t>
      </w:r>
      <w:r>
        <w:rPr>
          <w:rFonts w:hint="eastAsia" w:ascii="宋体" w:hAnsi="宋体"/>
          <w:sz w:val="28"/>
          <w:szCs w:val="28"/>
          <w:lang w:eastAsia="zh-CN"/>
        </w:rPr>
        <w:t>（项）指：</w:t>
      </w:r>
      <w:r>
        <w:rPr>
          <w:rFonts w:hint="eastAsia" w:ascii="宋体" w:hAnsi="宋体"/>
          <w:sz w:val="28"/>
          <w:szCs w:val="28"/>
        </w:rPr>
        <w:t>其他农业支出</w:t>
      </w:r>
    </w:p>
    <w:p w14:paraId="383E8EB7">
      <w:pPr>
        <w:spacing w:line="540" w:lineRule="exact"/>
        <w:jc w:val="left"/>
        <w:rPr>
          <w:rFonts w:hint="eastAsia" w:ascii="宋体" w:hAnsi="宋体"/>
          <w:sz w:val="28"/>
          <w:szCs w:val="28"/>
        </w:rPr>
      </w:pPr>
      <w:r>
        <w:rPr>
          <w:rFonts w:hint="eastAsia" w:ascii="宋体" w:hAnsi="宋体"/>
          <w:sz w:val="28"/>
          <w:szCs w:val="28"/>
        </w:rPr>
        <w:t>213</w:t>
      </w:r>
      <w:r>
        <w:rPr>
          <w:rFonts w:hint="eastAsia" w:ascii="宋体" w:hAnsi="宋体"/>
          <w:sz w:val="28"/>
          <w:szCs w:val="28"/>
          <w:lang w:eastAsia="zh-CN"/>
        </w:rPr>
        <w:t>（类）</w:t>
      </w:r>
      <w:r>
        <w:rPr>
          <w:rFonts w:hint="eastAsia" w:ascii="宋体" w:hAnsi="宋体"/>
          <w:sz w:val="28"/>
          <w:szCs w:val="28"/>
        </w:rPr>
        <w:t>02</w:t>
      </w:r>
      <w:r>
        <w:rPr>
          <w:rFonts w:hint="eastAsia" w:ascii="宋体" w:hAnsi="宋体"/>
          <w:sz w:val="28"/>
          <w:szCs w:val="28"/>
          <w:lang w:eastAsia="zh-CN"/>
        </w:rPr>
        <w:t>（款）</w:t>
      </w:r>
      <w:r>
        <w:rPr>
          <w:rFonts w:hint="eastAsia" w:ascii="宋体" w:hAnsi="宋体"/>
          <w:sz w:val="28"/>
          <w:szCs w:val="28"/>
        </w:rPr>
        <w:t>01</w:t>
      </w:r>
      <w:r>
        <w:rPr>
          <w:rFonts w:hint="eastAsia" w:ascii="宋体" w:hAnsi="宋体"/>
          <w:sz w:val="28"/>
          <w:szCs w:val="28"/>
          <w:lang w:eastAsia="zh-CN"/>
        </w:rPr>
        <w:t>（项）指：</w:t>
      </w:r>
      <w:r>
        <w:rPr>
          <w:rFonts w:hint="eastAsia" w:ascii="宋体" w:hAnsi="宋体"/>
          <w:sz w:val="28"/>
          <w:szCs w:val="28"/>
        </w:rPr>
        <w:t>行政运行</w:t>
      </w:r>
    </w:p>
    <w:p w14:paraId="79700599">
      <w:pPr>
        <w:spacing w:line="540" w:lineRule="exact"/>
        <w:jc w:val="left"/>
        <w:rPr>
          <w:rFonts w:hint="eastAsia" w:ascii="宋体" w:hAnsi="宋体"/>
          <w:sz w:val="28"/>
          <w:szCs w:val="28"/>
        </w:rPr>
      </w:pPr>
      <w:r>
        <w:rPr>
          <w:rFonts w:hint="eastAsia" w:ascii="宋体" w:hAnsi="宋体"/>
          <w:sz w:val="28"/>
          <w:szCs w:val="28"/>
        </w:rPr>
        <w:t>213</w:t>
      </w:r>
      <w:r>
        <w:rPr>
          <w:rFonts w:hint="eastAsia" w:ascii="宋体" w:hAnsi="宋体"/>
          <w:sz w:val="28"/>
          <w:szCs w:val="28"/>
          <w:lang w:eastAsia="zh-CN"/>
        </w:rPr>
        <w:t>（类）</w:t>
      </w:r>
      <w:r>
        <w:rPr>
          <w:rFonts w:hint="eastAsia" w:ascii="宋体" w:hAnsi="宋体"/>
          <w:sz w:val="28"/>
          <w:szCs w:val="28"/>
        </w:rPr>
        <w:t>02</w:t>
      </w:r>
      <w:r>
        <w:rPr>
          <w:rFonts w:hint="eastAsia" w:ascii="宋体" w:hAnsi="宋体"/>
          <w:sz w:val="28"/>
          <w:szCs w:val="28"/>
          <w:lang w:eastAsia="zh-CN"/>
        </w:rPr>
        <w:t>（款）</w:t>
      </w:r>
      <w:r>
        <w:rPr>
          <w:rFonts w:hint="eastAsia" w:ascii="宋体" w:hAnsi="宋体"/>
          <w:sz w:val="28"/>
          <w:szCs w:val="28"/>
        </w:rPr>
        <w:t>04</w:t>
      </w:r>
      <w:r>
        <w:rPr>
          <w:rFonts w:hint="eastAsia" w:ascii="宋体" w:hAnsi="宋体"/>
          <w:sz w:val="28"/>
          <w:szCs w:val="28"/>
          <w:lang w:eastAsia="zh-CN"/>
        </w:rPr>
        <w:t>（项）指：</w:t>
      </w:r>
      <w:r>
        <w:rPr>
          <w:rFonts w:hint="eastAsia" w:ascii="宋体" w:hAnsi="宋体"/>
          <w:sz w:val="28"/>
          <w:szCs w:val="28"/>
        </w:rPr>
        <w:t>事业机构</w:t>
      </w:r>
    </w:p>
    <w:p w14:paraId="4824C4CC">
      <w:pPr>
        <w:spacing w:line="540" w:lineRule="exact"/>
        <w:jc w:val="left"/>
        <w:rPr>
          <w:rFonts w:hint="eastAsia" w:ascii="宋体" w:hAnsi="宋体"/>
          <w:sz w:val="28"/>
          <w:szCs w:val="28"/>
        </w:rPr>
      </w:pPr>
      <w:r>
        <w:rPr>
          <w:rFonts w:hint="eastAsia" w:ascii="宋体" w:hAnsi="宋体"/>
          <w:sz w:val="28"/>
          <w:szCs w:val="28"/>
        </w:rPr>
        <w:t>213</w:t>
      </w:r>
      <w:r>
        <w:rPr>
          <w:rFonts w:hint="eastAsia" w:ascii="宋体" w:hAnsi="宋体"/>
          <w:sz w:val="28"/>
          <w:szCs w:val="28"/>
          <w:lang w:eastAsia="zh-CN"/>
        </w:rPr>
        <w:t>（类）</w:t>
      </w:r>
      <w:r>
        <w:rPr>
          <w:rFonts w:hint="eastAsia" w:ascii="宋体" w:hAnsi="宋体"/>
          <w:sz w:val="28"/>
          <w:szCs w:val="28"/>
        </w:rPr>
        <w:t>02</w:t>
      </w:r>
      <w:r>
        <w:rPr>
          <w:rFonts w:hint="eastAsia" w:ascii="宋体" w:hAnsi="宋体"/>
          <w:sz w:val="28"/>
          <w:szCs w:val="28"/>
          <w:lang w:eastAsia="zh-CN"/>
        </w:rPr>
        <w:t>（款）</w:t>
      </w:r>
      <w:r>
        <w:rPr>
          <w:rFonts w:hint="eastAsia" w:ascii="宋体" w:hAnsi="宋体"/>
          <w:sz w:val="28"/>
          <w:szCs w:val="28"/>
        </w:rPr>
        <w:t>05</w:t>
      </w:r>
      <w:r>
        <w:rPr>
          <w:rFonts w:hint="eastAsia" w:ascii="宋体" w:hAnsi="宋体"/>
          <w:sz w:val="28"/>
          <w:szCs w:val="28"/>
          <w:lang w:eastAsia="zh-CN"/>
        </w:rPr>
        <w:t>（项）指：</w:t>
      </w:r>
      <w:r>
        <w:rPr>
          <w:rFonts w:hint="eastAsia" w:ascii="宋体" w:hAnsi="宋体"/>
          <w:sz w:val="28"/>
          <w:szCs w:val="28"/>
        </w:rPr>
        <w:t>森林培育</w:t>
      </w:r>
    </w:p>
    <w:p w14:paraId="4B842979">
      <w:pPr>
        <w:spacing w:line="540" w:lineRule="exact"/>
        <w:jc w:val="left"/>
        <w:rPr>
          <w:rFonts w:hint="eastAsia" w:ascii="宋体" w:hAnsi="宋体"/>
          <w:sz w:val="28"/>
          <w:szCs w:val="28"/>
        </w:rPr>
      </w:pPr>
      <w:r>
        <w:rPr>
          <w:rFonts w:hint="eastAsia" w:ascii="宋体" w:hAnsi="宋体"/>
          <w:sz w:val="28"/>
          <w:szCs w:val="28"/>
        </w:rPr>
        <w:t>213</w:t>
      </w:r>
      <w:r>
        <w:rPr>
          <w:rFonts w:hint="eastAsia" w:ascii="宋体" w:hAnsi="宋体"/>
          <w:sz w:val="28"/>
          <w:szCs w:val="28"/>
          <w:lang w:eastAsia="zh-CN"/>
        </w:rPr>
        <w:t>（类）</w:t>
      </w:r>
      <w:r>
        <w:rPr>
          <w:rFonts w:hint="eastAsia" w:ascii="宋体" w:hAnsi="宋体"/>
          <w:sz w:val="28"/>
          <w:szCs w:val="28"/>
        </w:rPr>
        <w:t>02</w:t>
      </w:r>
      <w:r>
        <w:rPr>
          <w:rFonts w:hint="eastAsia" w:ascii="宋体" w:hAnsi="宋体"/>
          <w:sz w:val="28"/>
          <w:szCs w:val="28"/>
          <w:lang w:eastAsia="zh-CN"/>
        </w:rPr>
        <w:t>（款）</w:t>
      </w:r>
      <w:r>
        <w:rPr>
          <w:rFonts w:hint="eastAsia" w:ascii="宋体" w:hAnsi="宋体"/>
          <w:sz w:val="28"/>
          <w:szCs w:val="28"/>
        </w:rPr>
        <w:t>09</w:t>
      </w:r>
      <w:r>
        <w:rPr>
          <w:rFonts w:hint="eastAsia" w:ascii="宋体" w:hAnsi="宋体"/>
          <w:sz w:val="28"/>
          <w:szCs w:val="28"/>
          <w:lang w:eastAsia="zh-CN"/>
        </w:rPr>
        <w:t>（项）指：</w:t>
      </w:r>
      <w:r>
        <w:rPr>
          <w:rFonts w:hint="eastAsia" w:ascii="宋体" w:hAnsi="宋体"/>
          <w:sz w:val="28"/>
          <w:szCs w:val="28"/>
        </w:rPr>
        <w:t>森林生态效益补偿</w:t>
      </w:r>
    </w:p>
    <w:p w14:paraId="19523FBA">
      <w:pPr>
        <w:spacing w:line="540" w:lineRule="exact"/>
        <w:jc w:val="left"/>
        <w:rPr>
          <w:rFonts w:hint="eastAsia" w:ascii="宋体" w:hAnsi="宋体"/>
          <w:sz w:val="28"/>
          <w:szCs w:val="28"/>
        </w:rPr>
      </w:pPr>
      <w:r>
        <w:rPr>
          <w:rFonts w:hint="eastAsia" w:ascii="宋体" w:hAnsi="宋体"/>
          <w:sz w:val="28"/>
          <w:szCs w:val="28"/>
        </w:rPr>
        <w:t>213</w:t>
      </w:r>
      <w:r>
        <w:rPr>
          <w:rFonts w:hint="eastAsia" w:ascii="宋体" w:hAnsi="宋体"/>
          <w:sz w:val="28"/>
          <w:szCs w:val="28"/>
          <w:lang w:eastAsia="zh-CN"/>
        </w:rPr>
        <w:t>（类）</w:t>
      </w:r>
      <w:r>
        <w:rPr>
          <w:rFonts w:hint="eastAsia" w:ascii="宋体" w:hAnsi="宋体"/>
          <w:sz w:val="28"/>
          <w:szCs w:val="28"/>
        </w:rPr>
        <w:t>02</w:t>
      </w:r>
      <w:r>
        <w:rPr>
          <w:rFonts w:hint="eastAsia" w:ascii="宋体" w:hAnsi="宋体"/>
          <w:sz w:val="28"/>
          <w:szCs w:val="28"/>
          <w:lang w:eastAsia="zh-CN"/>
        </w:rPr>
        <w:t>（款）</w:t>
      </w:r>
      <w:r>
        <w:rPr>
          <w:rFonts w:hint="eastAsia" w:ascii="宋体" w:hAnsi="宋体"/>
          <w:sz w:val="28"/>
          <w:szCs w:val="28"/>
        </w:rPr>
        <w:t>12</w:t>
      </w:r>
      <w:r>
        <w:rPr>
          <w:rFonts w:hint="eastAsia" w:ascii="宋体" w:hAnsi="宋体"/>
          <w:sz w:val="28"/>
          <w:szCs w:val="28"/>
          <w:lang w:eastAsia="zh-CN"/>
        </w:rPr>
        <w:t>（项）指：</w:t>
      </w:r>
      <w:r>
        <w:rPr>
          <w:rFonts w:hint="eastAsia" w:ascii="宋体" w:hAnsi="宋体"/>
          <w:sz w:val="28"/>
          <w:szCs w:val="28"/>
        </w:rPr>
        <w:t>湿地保护</w:t>
      </w:r>
    </w:p>
    <w:p w14:paraId="26AB53D2">
      <w:pPr>
        <w:spacing w:line="540" w:lineRule="exact"/>
        <w:jc w:val="left"/>
        <w:rPr>
          <w:rFonts w:hint="eastAsia" w:ascii="宋体" w:hAnsi="宋体"/>
          <w:sz w:val="28"/>
          <w:szCs w:val="28"/>
        </w:rPr>
      </w:pPr>
      <w:r>
        <w:rPr>
          <w:rFonts w:hint="eastAsia" w:ascii="宋体" w:hAnsi="宋体"/>
          <w:sz w:val="28"/>
          <w:szCs w:val="28"/>
        </w:rPr>
        <w:t>213</w:t>
      </w:r>
      <w:r>
        <w:rPr>
          <w:rFonts w:hint="eastAsia" w:ascii="宋体" w:hAnsi="宋体"/>
          <w:sz w:val="28"/>
          <w:szCs w:val="28"/>
          <w:lang w:eastAsia="zh-CN"/>
        </w:rPr>
        <w:t>（类）</w:t>
      </w:r>
      <w:r>
        <w:rPr>
          <w:rFonts w:hint="eastAsia" w:ascii="宋体" w:hAnsi="宋体"/>
          <w:sz w:val="28"/>
          <w:szCs w:val="28"/>
        </w:rPr>
        <w:t>02</w:t>
      </w:r>
      <w:r>
        <w:rPr>
          <w:rFonts w:hint="eastAsia" w:ascii="宋体" w:hAnsi="宋体"/>
          <w:sz w:val="28"/>
          <w:szCs w:val="28"/>
          <w:lang w:eastAsia="zh-CN"/>
        </w:rPr>
        <w:t>（款）</w:t>
      </w:r>
      <w:r>
        <w:rPr>
          <w:rFonts w:hint="eastAsia" w:ascii="宋体" w:hAnsi="宋体"/>
          <w:sz w:val="28"/>
          <w:szCs w:val="28"/>
        </w:rPr>
        <w:t>34</w:t>
      </w:r>
      <w:r>
        <w:rPr>
          <w:rFonts w:hint="eastAsia" w:ascii="宋体" w:hAnsi="宋体"/>
          <w:sz w:val="28"/>
          <w:szCs w:val="28"/>
          <w:lang w:eastAsia="zh-CN"/>
        </w:rPr>
        <w:t>（项）指：</w:t>
      </w:r>
      <w:r>
        <w:rPr>
          <w:rFonts w:hint="eastAsia" w:ascii="宋体" w:hAnsi="宋体"/>
          <w:sz w:val="28"/>
          <w:szCs w:val="28"/>
        </w:rPr>
        <w:t>防灾减灾</w:t>
      </w:r>
    </w:p>
    <w:p w14:paraId="0C3B07F0">
      <w:pPr>
        <w:spacing w:line="540" w:lineRule="exact"/>
        <w:jc w:val="left"/>
        <w:rPr>
          <w:rFonts w:hint="eastAsia" w:ascii="宋体" w:hAnsi="宋体"/>
          <w:sz w:val="28"/>
          <w:szCs w:val="28"/>
        </w:rPr>
      </w:pPr>
      <w:r>
        <w:rPr>
          <w:rFonts w:hint="eastAsia" w:ascii="宋体" w:hAnsi="宋体"/>
          <w:sz w:val="28"/>
          <w:szCs w:val="28"/>
        </w:rPr>
        <w:t>213</w:t>
      </w:r>
      <w:r>
        <w:rPr>
          <w:rFonts w:hint="eastAsia" w:ascii="宋体" w:hAnsi="宋体"/>
          <w:sz w:val="28"/>
          <w:szCs w:val="28"/>
          <w:lang w:eastAsia="zh-CN"/>
        </w:rPr>
        <w:t>（类）</w:t>
      </w:r>
      <w:r>
        <w:rPr>
          <w:rFonts w:hint="eastAsia" w:ascii="宋体" w:hAnsi="宋体"/>
          <w:sz w:val="28"/>
          <w:szCs w:val="28"/>
        </w:rPr>
        <w:t>02</w:t>
      </w:r>
      <w:r>
        <w:rPr>
          <w:rFonts w:hint="eastAsia" w:ascii="宋体" w:hAnsi="宋体"/>
          <w:sz w:val="28"/>
          <w:szCs w:val="28"/>
          <w:lang w:eastAsia="zh-CN"/>
        </w:rPr>
        <w:t>（款）</w:t>
      </w:r>
      <w:r>
        <w:rPr>
          <w:rFonts w:hint="eastAsia" w:ascii="宋体" w:hAnsi="宋体"/>
          <w:sz w:val="28"/>
          <w:szCs w:val="28"/>
        </w:rPr>
        <w:t>37</w:t>
      </w:r>
      <w:r>
        <w:rPr>
          <w:rFonts w:hint="eastAsia" w:ascii="宋体" w:hAnsi="宋体"/>
          <w:sz w:val="28"/>
          <w:szCs w:val="28"/>
          <w:lang w:eastAsia="zh-CN"/>
        </w:rPr>
        <w:t>（项）指：</w:t>
      </w:r>
      <w:r>
        <w:rPr>
          <w:rFonts w:hint="eastAsia" w:ascii="宋体" w:hAnsi="宋体"/>
          <w:sz w:val="28"/>
          <w:szCs w:val="28"/>
        </w:rPr>
        <w:t>行业业务管理</w:t>
      </w:r>
    </w:p>
    <w:p w14:paraId="28C9ABF6">
      <w:pPr>
        <w:spacing w:line="540" w:lineRule="exact"/>
        <w:jc w:val="left"/>
        <w:rPr>
          <w:rFonts w:hint="eastAsia" w:ascii="宋体" w:hAnsi="宋体"/>
          <w:sz w:val="28"/>
          <w:szCs w:val="28"/>
        </w:rPr>
      </w:pPr>
      <w:r>
        <w:rPr>
          <w:rFonts w:hint="eastAsia" w:ascii="宋体" w:hAnsi="宋体"/>
          <w:sz w:val="28"/>
          <w:szCs w:val="28"/>
        </w:rPr>
        <w:t>213</w:t>
      </w:r>
      <w:r>
        <w:rPr>
          <w:rFonts w:hint="eastAsia" w:ascii="宋体" w:hAnsi="宋体"/>
          <w:sz w:val="28"/>
          <w:szCs w:val="28"/>
          <w:lang w:eastAsia="zh-CN"/>
        </w:rPr>
        <w:t>（类）</w:t>
      </w:r>
      <w:r>
        <w:rPr>
          <w:rFonts w:hint="eastAsia" w:ascii="宋体" w:hAnsi="宋体"/>
          <w:sz w:val="28"/>
          <w:szCs w:val="28"/>
        </w:rPr>
        <w:t>02</w:t>
      </w:r>
      <w:r>
        <w:rPr>
          <w:rFonts w:hint="eastAsia" w:ascii="宋体" w:hAnsi="宋体"/>
          <w:sz w:val="28"/>
          <w:szCs w:val="28"/>
          <w:lang w:eastAsia="zh-CN"/>
        </w:rPr>
        <w:t>（款）</w:t>
      </w:r>
      <w:r>
        <w:rPr>
          <w:rFonts w:hint="eastAsia" w:ascii="宋体" w:hAnsi="宋体"/>
          <w:sz w:val="28"/>
          <w:szCs w:val="28"/>
        </w:rPr>
        <w:t>99</w:t>
      </w:r>
      <w:r>
        <w:rPr>
          <w:rFonts w:hint="eastAsia" w:ascii="宋体" w:hAnsi="宋体"/>
          <w:sz w:val="28"/>
          <w:szCs w:val="28"/>
          <w:lang w:eastAsia="zh-CN"/>
        </w:rPr>
        <w:t>（项）指：</w:t>
      </w:r>
      <w:r>
        <w:rPr>
          <w:rFonts w:hint="eastAsia" w:ascii="宋体" w:hAnsi="宋体"/>
          <w:sz w:val="28"/>
          <w:szCs w:val="28"/>
        </w:rPr>
        <w:t>其他林业和草原支出</w:t>
      </w:r>
    </w:p>
    <w:p w14:paraId="47E5AE5A">
      <w:pPr>
        <w:spacing w:line="540" w:lineRule="exact"/>
        <w:jc w:val="left"/>
        <w:rPr>
          <w:rFonts w:hint="eastAsia" w:ascii="宋体" w:hAnsi="宋体"/>
          <w:sz w:val="28"/>
          <w:szCs w:val="28"/>
        </w:rPr>
      </w:pPr>
      <w:r>
        <w:rPr>
          <w:rFonts w:hint="eastAsia" w:ascii="宋体" w:hAnsi="宋体"/>
          <w:sz w:val="28"/>
          <w:szCs w:val="28"/>
        </w:rPr>
        <w:t>220</w:t>
      </w:r>
      <w:r>
        <w:rPr>
          <w:rFonts w:hint="eastAsia" w:ascii="宋体" w:hAnsi="宋体"/>
          <w:sz w:val="28"/>
          <w:szCs w:val="28"/>
          <w:lang w:eastAsia="zh-CN"/>
        </w:rPr>
        <w:t>（类）</w:t>
      </w:r>
      <w:r>
        <w:rPr>
          <w:rFonts w:hint="eastAsia" w:ascii="宋体" w:hAnsi="宋体"/>
          <w:sz w:val="28"/>
          <w:szCs w:val="28"/>
        </w:rPr>
        <w:t>01</w:t>
      </w:r>
      <w:r>
        <w:rPr>
          <w:rFonts w:hint="eastAsia" w:ascii="宋体" w:hAnsi="宋体"/>
          <w:sz w:val="28"/>
          <w:szCs w:val="28"/>
          <w:lang w:eastAsia="zh-CN"/>
        </w:rPr>
        <w:t>（款）</w:t>
      </w:r>
      <w:r>
        <w:rPr>
          <w:rFonts w:hint="eastAsia" w:ascii="宋体" w:hAnsi="宋体"/>
          <w:sz w:val="28"/>
          <w:szCs w:val="28"/>
        </w:rPr>
        <w:t>01</w:t>
      </w:r>
      <w:r>
        <w:rPr>
          <w:rFonts w:hint="eastAsia" w:ascii="宋体" w:hAnsi="宋体"/>
          <w:sz w:val="28"/>
          <w:szCs w:val="28"/>
          <w:lang w:eastAsia="zh-CN"/>
        </w:rPr>
        <w:t>（项）指：</w:t>
      </w:r>
      <w:r>
        <w:rPr>
          <w:rFonts w:hint="eastAsia" w:ascii="宋体" w:hAnsi="宋体"/>
          <w:sz w:val="28"/>
          <w:szCs w:val="28"/>
        </w:rPr>
        <w:t>行政运行</w:t>
      </w:r>
    </w:p>
    <w:p w14:paraId="5CAEAC66">
      <w:pPr>
        <w:spacing w:line="540" w:lineRule="exact"/>
        <w:jc w:val="left"/>
        <w:rPr>
          <w:rFonts w:hint="eastAsia" w:ascii="宋体" w:hAnsi="宋体"/>
          <w:sz w:val="28"/>
          <w:szCs w:val="28"/>
        </w:rPr>
      </w:pPr>
      <w:r>
        <w:rPr>
          <w:rFonts w:hint="eastAsia" w:ascii="宋体" w:hAnsi="宋体"/>
          <w:sz w:val="28"/>
          <w:szCs w:val="28"/>
        </w:rPr>
        <w:t>220</w:t>
      </w:r>
      <w:r>
        <w:rPr>
          <w:rFonts w:hint="eastAsia" w:ascii="宋体" w:hAnsi="宋体"/>
          <w:sz w:val="28"/>
          <w:szCs w:val="28"/>
          <w:lang w:eastAsia="zh-CN"/>
        </w:rPr>
        <w:t>（类）</w:t>
      </w:r>
      <w:r>
        <w:rPr>
          <w:rFonts w:hint="eastAsia" w:ascii="宋体" w:hAnsi="宋体"/>
          <w:sz w:val="28"/>
          <w:szCs w:val="28"/>
        </w:rPr>
        <w:t>01</w:t>
      </w:r>
      <w:r>
        <w:rPr>
          <w:rFonts w:hint="eastAsia" w:ascii="宋体" w:hAnsi="宋体"/>
          <w:sz w:val="28"/>
          <w:szCs w:val="28"/>
          <w:lang w:eastAsia="zh-CN"/>
        </w:rPr>
        <w:t>（款）</w:t>
      </w:r>
      <w:r>
        <w:rPr>
          <w:rFonts w:hint="eastAsia" w:ascii="宋体" w:hAnsi="宋体"/>
          <w:sz w:val="28"/>
          <w:szCs w:val="28"/>
        </w:rPr>
        <w:t>05</w:t>
      </w:r>
      <w:r>
        <w:rPr>
          <w:rFonts w:hint="eastAsia" w:ascii="宋体" w:hAnsi="宋体"/>
          <w:sz w:val="28"/>
          <w:szCs w:val="28"/>
          <w:lang w:eastAsia="zh-CN"/>
        </w:rPr>
        <w:t>（项）指：</w:t>
      </w:r>
      <w:r>
        <w:rPr>
          <w:rFonts w:hint="eastAsia" w:ascii="宋体" w:hAnsi="宋体"/>
          <w:sz w:val="28"/>
          <w:szCs w:val="28"/>
        </w:rPr>
        <w:t>土地资源调查</w:t>
      </w:r>
    </w:p>
    <w:p w14:paraId="31ABE969">
      <w:pPr>
        <w:spacing w:line="540" w:lineRule="exact"/>
        <w:jc w:val="left"/>
        <w:rPr>
          <w:rFonts w:hint="eastAsia" w:ascii="宋体" w:hAnsi="宋体"/>
          <w:sz w:val="28"/>
          <w:szCs w:val="28"/>
        </w:rPr>
      </w:pPr>
      <w:r>
        <w:rPr>
          <w:rFonts w:hint="eastAsia" w:ascii="宋体" w:hAnsi="宋体"/>
          <w:sz w:val="28"/>
          <w:szCs w:val="28"/>
        </w:rPr>
        <w:t>220</w:t>
      </w:r>
      <w:r>
        <w:rPr>
          <w:rFonts w:hint="eastAsia" w:ascii="宋体" w:hAnsi="宋体"/>
          <w:sz w:val="28"/>
          <w:szCs w:val="28"/>
          <w:lang w:eastAsia="zh-CN"/>
        </w:rPr>
        <w:t>（类）</w:t>
      </w:r>
      <w:r>
        <w:rPr>
          <w:rFonts w:hint="eastAsia" w:ascii="宋体" w:hAnsi="宋体"/>
          <w:sz w:val="28"/>
          <w:szCs w:val="28"/>
        </w:rPr>
        <w:t>01</w:t>
      </w:r>
      <w:r>
        <w:rPr>
          <w:rFonts w:hint="eastAsia" w:ascii="宋体" w:hAnsi="宋体"/>
          <w:sz w:val="28"/>
          <w:szCs w:val="28"/>
          <w:lang w:eastAsia="zh-CN"/>
        </w:rPr>
        <w:t>（款）</w:t>
      </w:r>
      <w:r>
        <w:rPr>
          <w:rFonts w:hint="eastAsia" w:ascii="宋体" w:hAnsi="宋体"/>
          <w:sz w:val="28"/>
          <w:szCs w:val="28"/>
        </w:rPr>
        <w:t>99</w:t>
      </w:r>
      <w:r>
        <w:rPr>
          <w:rFonts w:hint="eastAsia" w:ascii="宋体" w:hAnsi="宋体"/>
          <w:sz w:val="28"/>
          <w:szCs w:val="28"/>
          <w:lang w:eastAsia="zh-CN"/>
        </w:rPr>
        <w:t>（项）指</w:t>
      </w:r>
      <w:r>
        <w:rPr>
          <w:rFonts w:hint="eastAsia" w:ascii="宋体" w:hAnsi="宋体"/>
          <w:sz w:val="28"/>
          <w:szCs w:val="28"/>
        </w:rPr>
        <w:t>其他自然资源事务支出</w:t>
      </w:r>
    </w:p>
    <w:p w14:paraId="3B898754">
      <w:pPr>
        <w:spacing w:line="540" w:lineRule="exact"/>
        <w:jc w:val="center"/>
        <w:rPr>
          <w:rFonts w:ascii="黑体" w:hAnsi="黑体" w:eastAsia="黑体"/>
          <w:sz w:val="32"/>
          <w:szCs w:val="32"/>
          <w:highlight w:val="none"/>
        </w:rPr>
      </w:pPr>
      <w:r>
        <w:rPr>
          <w:rFonts w:hint="eastAsia" w:ascii="黑体" w:hAnsi="黑体" w:eastAsia="黑体"/>
          <w:sz w:val="32"/>
          <w:szCs w:val="32"/>
          <w:highlight w:val="none"/>
        </w:rPr>
        <w:t>第四部分 部门决算公开的8张报表（见附表）</w:t>
      </w:r>
    </w:p>
    <w:p w14:paraId="47750DCE">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一、《收入支出决算总表》</w:t>
      </w:r>
    </w:p>
    <w:p w14:paraId="37CBBC67">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二、《收入决算表》</w:t>
      </w:r>
    </w:p>
    <w:p w14:paraId="41BC39F4">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三、《支出决算表》</w:t>
      </w:r>
    </w:p>
    <w:p w14:paraId="5537C3C5">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四、《财政拨款收入支出决算总表》</w:t>
      </w:r>
    </w:p>
    <w:p w14:paraId="7CE14D93">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五、《一般公共预算财政拨款支出决算表》</w:t>
      </w:r>
    </w:p>
    <w:p w14:paraId="78ABDCED">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六、《一般公共预算财政拨款基本支出决算表》</w:t>
      </w:r>
    </w:p>
    <w:p w14:paraId="47B64BDB">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七、《一般公共预算财政拨款“三公”经费支出决算表》</w:t>
      </w:r>
    </w:p>
    <w:p w14:paraId="695F9D28">
      <w:pPr>
        <w:spacing w:line="540" w:lineRule="exact"/>
        <w:ind w:firstLine="640" w:firstLineChars="200"/>
        <w:rPr>
          <w:rFonts w:ascii="仿宋_GB2312" w:eastAsia="仿宋_GB2312"/>
          <w:sz w:val="32"/>
          <w:szCs w:val="32"/>
          <w:highlight w:val="none"/>
        </w:rPr>
      </w:pPr>
      <w:r>
        <w:rPr>
          <w:rFonts w:hint="eastAsia" w:ascii="仿宋_GB2312" w:hAnsi="宋体" w:eastAsia="仿宋_GB2312"/>
          <w:sz w:val="32"/>
          <w:szCs w:val="32"/>
          <w:highlight w:val="none"/>
        </w:rPr>
        <w:t>八、</w:t>
      </w:r>
      <w:r>
        <w:rPr>
          <w:rFonts w:hint="eastAsia" w:ascii="仿宋_GB2312" w:eastAsia="仿宋_GB2312"/>
          <w:sz w:val="32"/>
          <w:szCs w:val="32"/>
          <w:highlight w:val="none"/>
        </w:rPr>
        <w:t>《政府性基金预算财政拨款收入支出决算表》</w:t>
      </w:r>
    </w:p>
    <w:p w14:paraId="31637C2A">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3C"/>
    <w:rsid w:val="001500E6"/>
    <w:rsid w:val="001A2B4A"/>
    <w:rsid w:val="00417058"/>
    <w:rsid w:val="004642B9"/>
    <w:rsid w:val="004763B2"/>
    <w:rsid w:val="004A2F26"/>
    <w:rsid w:val="0058643C"/>
    <w:rsid w:val="006059F7"/>
    <w:rsid w:val="009A4996"/>
    <w:rsid w:val="00BE7FE7"/>
    <w:rsid w:val="00CE0C1D"/>
    <w:rsid w:val="00CF769E"/>
    <w:rsid w:val="00D923F6"/>
    <w:rsid w:val="00F21610"/>
    <w:rsid w:val="115E0C60"/>
    <w:rsid w:val="186021FC"/>
    <w:rsid w:val="21083CE9"/>
    <w:rsid w:val="25D3278E"/>
    <w:rsid w:val="43A37046"/>
    <w:rsid w:val="4572647A"/>
    <w:rsid w:val="5AF7761C"/>
    <w:rsid w:val="6F121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widowControl/>
      <w:spacing w:before="240" w:after="60"/>
      <w:jc w:val="left"/>
      <w:outlineLvl w:val="1"/>
    </w:pPr>
    <w:rPr>
      <w:rFonts w:ascii="Cambria" w:hAnsi="Cambria" w:eastAsia="宋体"/>
      <w:b/>
      <w:bCs/>
      <w:i/>
      <w:iCs/>
      <w:kern w:val="0"/>
      <w:sz w:val="28"/>
      <w:szCs w:val="28"/>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9"/>
    <w:qFormat/>
    <w:uiPriority w:val="0"/>
    <w:pPr>
      <w:jc w:val="left"/>
    </w:pPr>
    <w:rPr>
      <w:rFonts w:ascii="Times New Roman" w:hAnsi="Times New Roman" w:eastAsia="宋体" w:cs="Times New Roman"/>
      <w:szCs w:val="24"/>
    </w:rPr>
  </w:style>
  <w:style w:type="paragraph" w:styleId="4">
    <w:name w:val="Balloon Text"/>
    <w:basedOn w:val="1"/>
    <w:link w:val="10"/>
    <w:semiHidden/>
    <w:unhideWhenUsed/>
    <w:qFormat/>
    <w:uiPriority w:val="99"/>
    <w:rPr>
      <w:sz w:val="18"/>
      <w:szCs w:val="18"/>
    </w:rPr>
  </w:style>
  <w:style w:type="character" w:styleId="7">
    <w:name w:val="Strong"/>
    <w:basedOn w:val="6"/>
    <w:qFormat/>
    <w:uiPriority w:val="99"/>
    <w:rPr>
      <w:rFonts w:cs="Times New Roman"/>
      <w:b/>
      <w:bCs/>
    </w:rPr>
  </w:style>
  <w:style w:type="character" w:styleId="8">
    <w:name w:val="annotation reference"/>
    <w:basedOn w:val="6"/>
    <w:semiHidden/>
    <w:unhideWhenUsed/>
    <w:qFormat/>
    <w:uiPriority w:val="99"/>
    <w:rPr>
      <w:sz w:val="21"/>
      <w:szCs w:val="21"/>
    </w:rPr>
  </w:style>
  <w:style w:type="character" w:customStyle="1" w:styleId="9">
    <w:name w:val="批注文字 Char"/>
    <w:basedOn w:val="6"/>
    <w:link w:val="3"/>
    <w:qFormat/>
    <w:uiPriority w:val="0"/>
    <w:rPr>
      <w:rFonts w:ascii="Times New Roman" w:hAnsi="Times New Roman" w:eastAsia="宋体" w:cs="Times New Roman"/>
      <w:szCs w:val="24"/>
    </w:rPr>
  </w:style>
  <w:style w:type="character" w:customStyle="1" w:styleId="10">
    <w:name w:val="批注框文本 Char"/>
    <w:basedOn w:val="6"/>
    <w:link w:val="4"/>
    <w:semiHidden/>
    <w:qFormat/>
    <w:uiPriority w:val="99"/>
    <w:rPr>
      <w:sz w:val="18"/>
      <w:szCs w:val="18"/>
    </w:rPr>
  </w:style>
  <w:style w:type="character" w:customStyle="1" w:styleId="11">
    <w:name w:val="font21"/>
    <w:basedOn w:val="6"/>
    <w:qFormat/>
    <w:uiPriority w:val="0"/>
    <w:rPr>
      <w:rFonts w:ascii="宋体" w:hAnsi="宋体" w:eastAsia="宋体" w:cs="宋体"/>
      <w:color w:val="000000"/>
      <w:sz w:val="20"/>
      <w:szCs w:val="20"/>
      <w:u w:val="none"/>
    </w:rPr>
  </w:style>
  <w:style w:type="character" w:customStyle="1" w:styleId="12">
    <w:name w:val="font51"/>
    <w:basedOn w:val="6"/>
    <w:uiPriority w:val="0"/>
    <w:rPr>
      <w:rFonts w:hint="eastAsia" w:ascii="宋体" w:hAnsi="宋体" w:eastAsia="宋体" w:cs="宋体"/>
      <w:color w:val="000000"/>
      <w:sz w:val="20"/>
      <w:szCs w:val="20"/>
      <w:u w:val="none"/>
    </w:rPr>
  </w:style>
  <w:style w:type="character" w:customStyle="1" w:styleId="13">
    <w:name w:val="font11"/>
    <w:basedOn w:val="6"/>
    <w:uiPriority w:val="0"/>
    <w:rPr>
      <w:rFonts w:hint="eastAsia" w:ascii="宋体" w:hAnsi="宋体" w:eastAsia="宋体" w:cs="宋体"/>
      <w:color w:val="000000"/>
      <w:sz w:val="20"/>
      <w:szCs w:val="20"/>
      <w:u w:val="none"/>
    </w:rPr>
  </w:style>
  <w:style w:type="character" w:customStyle="1" w:styleId="14">
    <w:name w:val="font01"/>
    <w:basedOn w:val="6"/>
    <w:qFormat/>
    <w:uiPriority w:val="0"/>
    <w:rPr>
      <w:rFonts w:hint="default" w:ascii="Calibri" w:hAnsi="Calibri" w:cs="Calibri"/>
      <w:color w:val="000000"/>
      <w:sz w:val="20"/>
      <w:szCs w:val="20"/>
      <w:u w:val="none"/>
    </w:rPr>
  </w:style>
  <w:style w:type="character" w:customStyle="1" w:styleId="15">
    <w:name w:val="font31"/>
    <w:basedOn w:val="6"/>
    <w:qFormat/>
    <w:uiPriority w:val="0"/>
    <w:rPr>
      <w:rFonts w:hint="eastAsia" w:ascii="宋体" w:hAnsi="宋体" w:eastAsia="宋体" w:cs="宋体"/>
      <w:color w:val="000000"/>
      <w:sz w:val="20"/>
      <w:szCs w:val="20"/>
      <w:u w:val="none"/>
    </w:rPr>
  </w:style>
  <w:style w:type="character" w:customStyle="1" w:styleId="16">
    <w:name w:val="font41"/>
    <w:basedOn w:val="6"/>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784</Words>
  <Characters>4472</Characters>
  <Lines>37</Lines>
  <Paragraphs>10</Paragraphs>
  <TotalTime>2</TotalTime>
  <ScaleCrop>false</ScaleCrop>
  <LinksUpToDate>false</LinksUpToDate>
  <CharactersWithSpaces>5246</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2019-07-23T11:27:00Z</dcterms:created>
  <dc:creator>admin</dc:creator>
  <cp:lastModifiedBy>行政办</cp:lastModifiedBy>
  <dcterms:modified xsi:type="dcterms:W3CDTF">2026-07-30T03:43:47Z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5F3988A683FA4492889DDF87DA0BD01F_12</vt:lpwstr>
  </property>
</Properties>
</file>