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outlineLvl w:val="1"/>
        <w:rPr>
          <w:rFonts w:hint="eastAsia" w:ascii="黑体" w:hAnsi="黑体" w:eastAsia="黑体"/>
          <w:bCs/>
          <w:sz w:val="32"/>
          <w:szCs w:val="32"/>
          <w:lang w:eastAsia="zh-CN" w:bidi="ar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eastAsia="zh-CN" w:bidi="ar"/>
        </w:rPr>
        <w:t>1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_GBK"/>
          <w:bCs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_GBK"/>
          <w:bCs/>
          <w:sz w:val="44"/>
          <w:szCs w:val="44"/>
          <w:lang w:eastAsia="zh-CN" w:bidi="ar"/>
        </w:rPr>
        <w:t>自治区级绿色矿山建设评价指标</w:t>
      </w:r>
    </w:p>
    <w:tbl>
      <w:tblPr>
        <w:tblStyle w:val="15"/>
        <w:tblW w:w="15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052"/>
        <w:gridCol w:w="1132"/>
        <w:gridCol w:w="672"/>
        <w:gridCol w:w="5311"/>
        <w:gridCol w:w="939"/>
        <w:gridCol w:w="2563"/>
        <w:gridCol w:w="915"/>
        <w:gridCol w:w="915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先决条件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bidi="ar"/>
              </w:rPr>
              <w:t>要求</w:t>
            </w:r>
          </w:p>
        </w:tc>
        <w:tc>
          <w:tcPr>
            <w:tcW w:w="5833" w:type="dxa"/>
            <w:gridSpan w:val="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bCs/>
                <w:szCs w:val="21"/>
                <w:lang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手续齐全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证照合法有效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《采矿许可证》《安全生产许可证》《营业执照》证照合法有效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，依法办理环评和排污许可手续，并依法完成竣工环保验收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。</w:t>
            </w:r>
          </w:p>
        </w:tc>
        <w:tc>
          <w:tcPr>
            <w:tcW w:w="5833" w:type="dxa"/>
            <w:gridSpan w:val="5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top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br w:type="textWrapping"/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 xml:space="preserve">               合格    □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br w:type="textWrapping"/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 xml:space="preserve">             不合格    □</w:t>
            </w:r>
          </w:p>
          <w:p>
            <w:pPr>
              <w:widowControl/>
              <w:textAlignment w:val="top"/>
              <w:rPr>
                <w:rFonts w:ascii="Times New Roman" w:hAnsi="Times New Roman" w:eastAsia="仿宋_GB2312"/>
                <w:szCs w:val="21"/>
                <w:lang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满足所有先决条件方可进行打分评价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，其中1条不满足的，即为不合格。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楷体_GB2312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三年内未受行政处罚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或已整改到位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近三年内（自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申报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之日起前三年），未受到自然资源和生态环境等部门行政处罚，或受到处罚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在履行期限内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已执行到位（出具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相关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证明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材料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），且未发生过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较大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及以上安全生产事故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环境事件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和重大林草案件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的。</w:t>
            </w:r>
          </w:p>
        </w:tc>
        <w:tc>
          <w:tcPr>
            <w:tcW w:w="5833" w:type="dxa"/>
            <w:gridSpan w:val="5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楷体_GB2312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矿业权人异常名录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矿业权人未被列入矿业权人勘查开采信息公示异常名录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（因未按要求建设绿色矿山列入的除外）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。</w:t>
            </w:r>
          </w:p>
        </w:tc>
        <w:tc>
          <w:tcPr>
            <w:tcW w:w="5833" w:type="dxa"/>
            <w:gridSpan w:val="5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楷体_GB2312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矿山要求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矿山近一年内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正常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生产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运营，且剩余储量可采年限（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按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储量年度报告）不少于三年。</w:t>
            </w:r>
          </w:p>
        </w:tc>
        <w:tc>
          <w:tcPr>
            <w:tcW w:w="5833" w:type="dxa"/>
            <w:gridSpan w:val="5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楷体_GB2312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矿区范围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矿区范围未涉及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生态保护红线（国家有规定的除外），符合国土空间规划及规划环评要求。</w:t>
            </w:r>
          </w:p>
        </w:tc>
        <w:tc>
          <w:tcPr>
            <w:tcW w:w="5833" w:type="dxa"/>
            <w:gridSpan w:val="5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楷体_GB2312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tblHeader/>
          <w:jc w:val="center"/>
        </w:trPr>
        <w:tc>
          <w:tcPr>
            <w:tcW w:w="10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一级指标</w:t>
            </w: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二级指标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三级指标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标准分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评分说明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考核方法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依据或标准</w:t>
            </w:r>
          </w:p>
        </w:tc>
        <w:tc>
          <w:tcPr>
            <w:tcW w:w="915" w:type="dxa"/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指标属性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检查记录</w:t>
            </w: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widowControl/>
              <w:spacing w:before="120" w:after="12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一、矿区环境(7项，1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分)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1矿容矿貌（9分）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1功能分区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矿区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按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生产区、管理区、生活区进行功能分区，符合分区要求。符合要求得2分，管理区、生活区分区不明显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0.5分，生产区、管理区分区不明显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1.5分。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矿区总平面布置图或示意图，《工业企业总平面设计规范》（GB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50187）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2配套设施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矿区地面运输、供水、供电等配套设施齐全、正常运行，食堂、澡堂、厕所等设施齐全、整洁规范，对矿区建筑、构筑物及时维护、维修或粉刷，生产区、管理区、生活区的所有场所不存在私搭乱建等临时建筑、废弃建构筑物。</w:t>
            </w:r>
            <w:r>
              <w:rPr>
                <w:rFonts w:ascii="Times New Roman" w:hAnsi="Times New Roman" w:eastAsia="仿宋_GB2312"/>
                <w:szCs w:val="21"/>
              </w:rPr>
              <w:t>符合要求得2分，发现一处不符合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扣</w:t>
            </w:r>
            <w:r>
              <w:rPr>
                <w:rFonts w:ascii="Times New Roman" w:hAnsi="Times New Roman" w:eastAsia="仿宋_GB2312"/>
                <w:szCs w:val="21"/>
              </w:rPr>
              <w:t>0.5分。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矿区总平面布置图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3标识标牌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矿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区按要求设置操作提示牌、说明牌、线路示意图牌等各类标牌，标牌的尺寸、形状、颜色设置符合规定。符合要求得1分，发现一处不符合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0.2分。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《标牌》（GB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/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T 13306）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4定置管理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设备、物资材料规范管理，做到分类分区、摆放有序、堆码整齐。符合要求得2分，发现一处不符合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0.5分。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5清洁卫生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矿区保持清洁卫生，主干道路表面平整、密实和粗糙度适当，内部道路或专用道路及时清理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无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洒落物，生产区及管理区无垃圾、无废石乱扔乱放，生产现场管线无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跑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、冒、滴、漏现象。</w:t>
            </w:r>
            <w:r>
              <w:rPr>
                <w:rFonts w:ascii="Times New Roman" w:hAnsi="Times New Roman" w:eastAsia="仿宋_GB2312"/>
                <w:szCs w:val="21"/>
              </w:rPr>
              <w:t>符合要求得2分，发现一处不符合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扣</w:t>
            </w:r>
            <w:r>
              <w:rPr>
                <w:rFonts w:ascii="Times New Roman" w:hAnsi="Times New Roman" w:eastAsia="仿宋_GB2312"/>
                <w:szCs w:val="21"/>
              </w:rPr>
              <w:t>0.5分。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《厂矿道路设计规范》（GBJ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22）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2矿区绿化美化（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6矿区绿化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矿区可绿化区域实现全覆盖，且无大面积表土裸露。符合要求得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分，发现一处不符合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扣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0.5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可绿化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区域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是指除采场、建筑覆盖区、硬化地面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等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不宜进行绿化区域以外的区域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提升</w:t>
            </w:r>
            <w:r>
              <w:rPr>
                <w:rFonts w:ascii="Times New Roman" w:hAnsi="Times New Roman" w:eastAsia="仿宋_GB2312"/>
                <w:szCs w:val="21"/>
              </w:rPr>
              <w:t>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7绿化效果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绿化植物以本土物种为主，搭配合理，与周边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环境协调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一致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符合当地气候条件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符合要求得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1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分，发现一处不符合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扣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0.5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提升</w:t>
            </w:r>
            <w:r>
              <w:rPr>
                <w:rFonts w:ascii="Times New Roman" w:hAnsi="Times New Roman" w:eastAsia="仿宋_GB2312"/>
                <w:szCs w:val="21"/>
              </w:rPr>
              <w:t>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二、资源开采（4项，20分）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1开采活动（15分）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8开采方式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露天开采：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露天开采采用自上而下分台阶开采，符合开采设计要求。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坚持采剥并举、剥离先行的原则，优化开采布局，选择合理工艺，科学制定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采排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计划，尽量减少对地表的破坏。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地下开采：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地下开采方法和顺序合理，符合开采设计要求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开采技术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符合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生态环境保护要求。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符合要求得5分，不符合得0分。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开采设计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9开采技术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露天开采：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①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钻孔：采用湿式、干式（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带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收尘）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等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凿岩作业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，得2分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②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爆破：采用微差爆破、预裂爆破、光面爆破等爆破作业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，得2分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铲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装：采用大型化自动化液压铲装设备、液压挖掘机或装载机、自卸式矿车、大型自移式破碎机等先进设备进行铲装作业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，得2分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④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排土：生产期采用分期内排技术，最大化利用内排土场排土，减少外部土地占用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，得2分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。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地下开采：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①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采用减轻地表沉陷变形、减少对土壤和地下水污染的开采方式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，如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充填法、保水开采等技术进行地下开采，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得3分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②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利用采空区规模化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环保化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处置尾矿、废石、煤矸石等，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得3分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③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应用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其他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无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废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开采、深部开采等先进开采技术，得2分。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适用于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石油天然气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、地热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矿泉水等：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①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采用电动钻机及顶驱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等钻井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装置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得2分；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②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优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快、控压等钻井技术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得2分；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③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采用环保型钻井液及循环利用技术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得2分；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④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及时无害化处置钻井泥浆等钻井废弃物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得2分。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工艺技术装备资料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10开采回采率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开采回采率符合矿产资源合理开发利用“三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”指标要求。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达到一般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要求得2分，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达到最低要求得1分，未达到最低要求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自然资源部发布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的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“三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”指标要求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2开采工作面（5分）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11质量要求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露天开采：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作业平台干净，保持平整、通畅，无杂物、无积水，工作台阶与非工作台阶坡面无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危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石，非工作台阶滚落物及时清理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符合要求得5分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1分。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地下开采：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工作面满足通风、运输、行人、设备安装、检修的需要，支护完好；无较大面积积水、无浮碴、无杂物，材料堆放整齐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。符合要求得5分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1分。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适用于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石油天然气等：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生产作业场地无明显油污，无“跑冒滴漏”及对井场表层土壤造成污染；钻井废弃物不落地，进行集中无害化处理。符合要求得5分，发现一处不符合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1分。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适用于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地热矿泉水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生产作业场所应干净整洁、无污渍；井（泉）及其附属设施保持完好并正常运行，无堵塞或泄露；应建有规范完备的污废水处理设施，正常运行合理处置污水、废水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szCs w:val="21"/>
              </w:rPr>
              <w:t>符合要求得5分，发现一处不符合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扣</w:t>
            </w:r>
            <w:r>
              <w:rPr>
                <w:rFonts w:ascii="Times New Roman" w:hAnsi="Times New Roman" w:eastAsia="仿宋_GB2312"/>
                <w:szCs w:val="21"/>
              </w:rPr>
              <w:t>1分。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三、资源综合利用（9项18分；4项18分）</w:t>
            </w:r>
          </w:p>
        </w:tc>
        <w:tc>
          <w:tcPr>
            <w:tcW w:w="14000" w:type="dxa"/>
            <w:gridSpan w:val="9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（1）非金属、化工、黄金、冶金、有色、油气、煤炭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、地热、矿泉水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1选矿回收（5分）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12选矿加工工艺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选矿工艺符合设计规范，不得使用国家规定的限制类和淘汰类技术、工艺和装备。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地热、矿泉水的利用做到资源分级利用、优质优用。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符合要求得3分，不符合得0分。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《煤炭洗选工程设计规范》（GB 50359-2016）等矿山选矿工艺设计规范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 xml:space="preserve">符合环评批复相关要求 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13选矿回收率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选矿回收率符合矿产资源合理开发利用“三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”指标要求。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达到一般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要求得2分，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达到最低要求得1分，未达到最低要求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自然资源部发布的“三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”指标要求，符合环评批复相关要求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约束</w:t>
            </w:r>
            <w:r>
              <w:rPr>
                <w:rFonts w:ascii="Times New Roman" w:hAnsi="Times New Roman" w:eastAsia="仿宋_GB2312"/>
                <w:szCs w:val="21"/>
              </w:rPr>
              <w:t>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2综合利用（5分）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14共伴生资源综合勘查与评价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按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矿产资源综合勘查评价规范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进行综合勘查、综合评价。符合要求得2分，不符合得0分。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《矿产资源综合勘查评价规范》（GB/T 25283）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15共伴生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矿产资源综合利用率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共伴生矿产综合利用率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符合矿产资源合理开发利用“三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”指标要求。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达到一般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要求得2分，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达到最低要求得1分，未达到最低要求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自然资源部发布的“三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”指标要求，符合环评批复相关要求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16对暂不能开采利用的矿产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对暂不能开采利用的共伴生矿产采取保护措施。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要求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得1分，不符合得0分。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《矿产资源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开采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方案》，矿山设计，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3固废综合利用（3分）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17工业固废处置与利用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通过回填、铺路、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工程建设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等方式充分利用固体废弃物，得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0.5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分；剥离表土用于土地复垦、生态修复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得1分（无表土的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，直接得1分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；渗滤液收集、废水处理、地下水环境监测等尾矿库污染防治设施符合相关法规标准要求，得0.5分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《矿产资源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开采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方案》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、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《一般工业固体废物贮存和填埋污染控制标准》（GB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18599）《尾矿污染环境防治管理办法》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18回收提取有价元素/有用矿物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鼓励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从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已有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尾矿、煤矸石、废石等固体废弃物中提取有价元素或有用矿物。符合要求得1分，不符合得0分。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生产报表、销售报表、财务报表等，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4废水综合利用（5分）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19生产废水综合利用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①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配备完备的废水处理设施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，并正常运行的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1分。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②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采用洁净化、资源化技术工艺合理处置矿井水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、废水、尾水，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得1分。煤矿、黄金等行业矿井水处置率达到100%，不达标不得分。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③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选矿废水循环利用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得1分。煤矿矿井水利用率达到相关标准，冶金选矿废水循环利用率不低于90%，非金属矿山选矿废水重复利用率不低于85%，化工行业选矿回水利用率达到100%，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地热矿泉水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尾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废水集中处理达标后外排或回灌。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不达标不得分。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ind w:left="-22" w:firstLine="26" w:firstLineChars="12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《煤炭采选业清洁生产评价指标体系》（国家发展改革委、生态环境部、工业和信息化部，2019年发布），冶金、非金属、煤炭、化工行业绿色矿山建设规范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20生活污水综合利用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①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配备生活污水处理系统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，并正常运行的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1分；生活污水处置达标后，用于工业场地浇灌绿化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、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洒水降尘或其他综合利用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得1分。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②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企业生活污水直接连入城镇污水处理管网，得2分。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000" w:type="dxa"/>
            <w:gridSpan w:val="9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（2）砂石、水泥灰岩、建筑石材等行业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1综合利用（5分）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21开采加工等相关产物综合利用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适用于砂石、建筑石材等行业：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充分利用石粉、泥粉等矿山开采或加工产物，提高资源化利用水平，如环境治理、土地复垦和土壤改良等。符合要求得5分。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适用于水泥灰岩行业：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结合水泥生产线多种原料配料的特点，实现开采或加工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生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产各类产物资源化利用，实现资源分级利用、优质优用，实现高品位矿石与低品位矿石、夹层、顶底板围岩等综合利用。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符合要求得5分。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生产报表（调度报表）或其他证明材料，符合环评批复相关要求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2固废综合利用（5分）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22土质剥离物的综合利用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适用于砂石、建筑石材等行业：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排土场堆放的剥离表土或筛分后的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碴土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、废石等，用于环境治理、土地复垦、生态修复等。符合要求得5分。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Segoe UI Symbol" w:hAnsi="Segoe UI Symbol" w:eastAsia="仿宋_GB2312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适用于水泥灰岩行业：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将符合要求的土质剥离物用作硅铝质原料或用于土地复垦，其他剥离物用作水泥配料、砂石骨料或其他工程用料。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符合要求得5分。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3废水综合利用（8分）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23生产废水处置与利用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4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①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配备完善的生产废水处理系统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得2分；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②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废水经固液分离处理后，清水得到有效循环利用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得2分。砂石清水循环利用率达到100%，不达标不得分。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生产报表（调度报表）或其他证明材料，砂石行业绿色矿山建设规范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24生活污水综合利用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4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①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配备生活污水处理系统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得2分；生活污水处置达标后，用于工业场地浇灌绿化，洒水降尘或其他综合利用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得2分。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 w:bidi="ar"/>
              </w:rPr>
              <w:t>②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企业生活污水直接连入城镇污水处理管网，得4分。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四、绿色低碳（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13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项，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20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分）</w:t>
            </w: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1节约集约用地（2分）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25节约集约用地情况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矿山用地在满足建设、运输生产等要求前提下，综合考虑土地资源、资金、环境等经济技术条件，按照节约集约原则，进行优化配置和科学利用，充分利用荒地、劣地，少占耕地。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符合要求得2分，不符合得0分。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《节约集约利用土地规定（2019年修正）》《工业项目用地控制指标》《自然资源部办公厅关于规范开展建设项目节地评价工作的通知》（自然资办发〔2021〕14号）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节能降耗（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分）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  <w:r>
              <w:rPr>
                <w:rFonts w:ascii="Times New Roman" w:hAnsi="Times New Roman" w:eastAsia="仿宋_GB2312"/>
                <w:szCs w:val="21"/>
              </w:rPr>
              <w:t>能源管理体系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有年度能源管理计划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得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0.5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分。建立全过程能耗管理体系得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0.5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分。取得能源管理体系认证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得1分。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得分不超过1分。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能耗核算体系文件或台账，能源管理体系证书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单位产品能耗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单位产品能耗符合国家标准。煤矿、铁矿、金矿、有色金属矿有国家标准的，执行国家标准。其他矿种暂无国家标准、行业标准的，以企业近3年能耗等指标均值为依据进行考核，要体现节能降耗进步要求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，能耗逐年降低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符合要求得2分，不符合得0分。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能耗台账、各行业单位产品能源消耗限额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  <w:t>减碳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（2分）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碳排放核算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按照规定的核算方法，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对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矿区范围内的温室气体排放进行核算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得2分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，未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0分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 xml:space="preserve">《工业企业温室气体排放核算和报告通则》（GB/T 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32150）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、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《温室气体排放核算方法与报告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要求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》（GB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 xml:space="preserve">/T 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32151）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4源头预防（5分）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29</w:t>
            </w:r>
            <w:r>
              <w:rPr>
                <w:rFonts w:ascii="Times New Roman" w:hAnsi="Times New Roman" w:eastAsia="仿宋_GB2312"/>
                <w:szCs w:val="21"/>
              </w:rPr>
              <w:t>地下水环境状况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矿区及周边地下水具备使用功能的，其环境状况应达到相关功能限值要求；存在人为因素导致地下水不满足相关功能要求时，应该按照相关标准开展地下水污染风险管控修复，防止地下水污染加重与扩散。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工矿用地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土壤环境管理办法（试行）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》《地下水质量标准》（GB/T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14848）、《污染地块地下水修复和风险管控技术导则》（HJ 25.6）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30酸性废水源头预防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评估预测矿山关闭酸性废水产生量及对周边环境影响，在开采和闭矿前综合采用雨水导排、补给控制、矿山回填等措施，预防酸性废水大量产生。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符合要求得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1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《水污染防治法》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31</w:t>
            </w:r>
            <w:r>
              <w:rPr>
                <w:rFonts w:ascii="Times New Roman" w:hAnsi="Times New Roman" w:eastAsia="仿宋_GB2312"/>
                <w:szCs w:val="21"/>
              </w:rPr>
              <w:t>土壤污染源头预防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矿山开采区、尾矿库等运营、管理单位应当采取防渗漏等措施，并建设地下水水质监测井进行监测；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建设涉及有毒有害物质的设施设备，应设计、建设和安装有关防腐蚀、防泄漏设施和泄漏监测装置，防止有毒有害物质污染土壤和地下水；构筑物及场地防渗要求符合相关标准的规定。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《水污染防治法》《工矿用地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土壤环境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管理办法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（试行）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》《一般工业固体废物贮存和填埋污染控制标准》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GB 18599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《尾矿库设计规范》（GB 50863）、《有色金属工业环境保护工程设计规范》（GB 50988）、《危险废物贮存污染控制标准》（GB 18597）、《危险废物填埋污染控制标准》（GB 18598）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32</w:t>
            </w:r>
            <w:r>
              <w:rPr>
                <w:rFonts w:ascii="Times New Roman" w:hAnsi="Times New Roman" w:eastAsia="仿宋_GB2312"/>
                <w:szCs w:val="21"/>
              </w:rPr>
              <w:t>土壤污染隐患排查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列入土壤污染重点监管单位的企业，应定期对重点区域、重点设施设备开展隐患排查；开展土壤和地下水自行监测；严格控制有毒有害物质排放，并按年度向生态环境主管部门报告排放情况。符合要求得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1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分，不符合得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0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分（未列入土壤污染重点监管单位的企业本项直接得分）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《土壤污染防治法》《重点监管单位土壤污染隐患排查指南（试行）》（生态环境部〔2021〕1号公告）、《工业企业土壤和地下水自行监测技术指南（试行）》（HJ 1209）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5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废物排放（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33</w:t>
            </w:r>
            <w:r>
              <w:rPr>
                <w:rFonts w:ascii="Times New Roman" w:hAnsi="Times New Roman" w:eastAsia="仿宋_GB2312"/>
                <w:szCs w:val="21"/>
              </w:rPr>
              <w:t>固废排放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对无法实现综合利用的固体废弃物，划分危险废物、一般废物和生活垃圾不同类别，实现分级分类，堆场、尾矿库污染防治设施符合相关法规标准要求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并按照国家法律和标准，自行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或委托第三方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对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一般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固体废弃物进行处置，委托第三方有资质的单位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对危险废物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进行处置。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《中华人民共和国固体废物污染环境防治法》《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一般工业固体废物贮存和填埋污染控制标准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》(GB 18599)，危险废物焚烧、贮存、填埋污染控制标准(GB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18484、18597、18598)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34</w:t>
            </w:r>
            <w:r>
              <w:rPr>
                <w:rFonts w:ascii="Times New Roman" w:hAnsi="Times New Roman" w:eastAsia="仿宋_GB2312"/>
                <w:szCs w:val="21"/>
              </w:rPr>
              <w:t>废水排放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清污管路分别铺设、雨水与污水管群分开设置；生活污水经处理后水质达标排放，或污水直接排入市政污水管网；工业废水经处理后水质达标排放；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尾矿库、排土场等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建有雨水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截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（排）水沟，地表径流水、淋溶水等经沉淀后达标排放或处理回用。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国家水污染物排放标准（GB 8978、GB 20426、GB 25465、GB 25466、GB 25467、GB 25468、GB 26451、GB 28661、GB 30770等）以及自治区水污染物排放标准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  <w:r>
              <w:rPr>
                <w:rFonts w:ascii="Times New Roman" w:hAnsi="Times New Roman" w:eastAsia="仿宋_GB2312"/>
                <w:szCs w:val="21"/>
              </w:rPr>
              <w:t>废气排放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在开采、加工、运输、贮存等环节，采取除尘捕尘、抑尘降尘、净化废气等措施，实现达标排放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开采过程中的大气污染物排放应符合国家或地方相应排放标准。凿岩作业采用降尘措施，爆破作业喷雾洒水降尘，生产区配置洒水车定时洒水降尘，配备地面运输车辆洗车台，对出厂车辆进行清洗，外运产品途中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苫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盖，废石或矿石周转场地、贮存场所具备防扬尘设施。矿区建筑物上无明显积尘，矿区周边植被无明显粉尘覆盖。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对矿区粉尘进行定期监测。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符合要求得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国家大气污染物排放标准（GB 4915、GB 9078、GB 16297、GB 20426、GB 25465、GB 25466、GB 25467、GB 25468、GB 26451、GB 28661、GB 30770、GB 41618等）以及自治区大气污染物排放标准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36移动源控制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企业使用铁路、水路、封闭式皮带廊道、新能源汽车运输矿石等大宗货物年货运量占比达到70%，得1分。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《深入打好重污染天气消除、臭氧污染防治和柴油货车污染治理攻坚战行动方案》（生态环境部〔202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〕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68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号公告）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37</w:t>
            </w:r>
            <w:r>
              <w:rPr>
                <w:rFonts w:ascii="Times New Roman" w:hAnsi="Times New Roman" w:eastAsia="仿宋_GB2312"/>
                <w:szCs w:val="21"/>
              </w:rPr>
              <w:t>噪声排放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对矿区凿岩、破碎和空压等高噪声设备进行降噪处理，配备消声、减振和隔振等措施，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厂界噪声排放达标。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对厂界噪声进行定期监测。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符合要求得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1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分，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《工业企业厂界环境噪声排放标准》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GB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12348-2008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五、生态修复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与环境治理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5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项，18分）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矿区生态修复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7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8矿区生态修复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方案编制与执行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矿区生态修复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方案》已通过审查并在适用期；依据《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矿区生态修复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方案》编制了年度计划；执行了年度报告制度；矿山地质环境治理恢复、土地复垦质量符合要求；完成了年度或阶段性目标任务并通过阶段验收。符合要求得5分，不符合得0分。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矿区生态修复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方案》及年度计划、《土地复垦质量控制标准》(TD/T 1036) 、《矿山生态修复技术规范》(TD/T 1070)等标准规范。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9矿区生态修复费用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计提使用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按相关规定及标准足额计提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矿区生态修复费用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并规范使用，统筹用于开展矿山地质环境治理恢复和土地复垦。符合要求得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矿区生态修复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方案》及年度计划、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费用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监管政策文件及标准规范，其他证明材料等。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2治理要求（5分）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40</w:t>
            </w:r>
            <w:r>
              <w:rPr>
                <w:rFonts w:ascii="Times New Roman" w:hAnsi="Times New Roman" w:eastAsia="仿宋_GB2312"/>
                <w:szCs w:val="21"/>
              </w:rPr>
              <w:t>治理效果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不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新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设永久排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/>
              </w:rPr>
              <w:t>矸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场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排土场、尾矿库、露天采场、矿区专用道路、矿山工业场地、塌陷区、废石场等区域生态修复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与环境治理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符合要求。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落实“边开采、边修复”要求，矿山生态修复能够分区、分期进行的，要分区、分期开展。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治理后的各类场地对周边环境不产生污染，与周边自然环境相协调，周边水体质量恢复至原水平，区域生态功能得到保护和恢复。</w:t>
            </w:r>
            <w:r>
              <w:rPr>
                <w:rFonts w:ascii="Times New Roman" w:hAnsi="Times New Roman" w:eastAsia="仿宋_GB2312"/>
                <w:szCs w:val="21"/>
              </w:rPr>
              <w:t>符合要求得5分，不符合得0分。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《矿山生态环境保护与恢复治理技术规范》（HJ 651）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《土地复垦质量控制标准》(TD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/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T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 xml:space="preserve">1036) 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、《矿山生态修复技术规范》(TD/T 1070)、《生态保护修复成效评估技术指南（试行）》（HJ 1272—2022），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其他文件证明材料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矿山环境动态监测（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41</w:t>
            </w:r>
            <w:r>
              <w:rPr>
                <w:rFonts w:ascii="Times New Roman" w:hAnsi="Times New Roman" w:eastAsia="仿宋_GB2312"/>
                <w:szCs w:val="21"/>
              </w:rPr>
              <w:t>动态监测要求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建立动态监测体系，对选矿废水、矿井水、尾矿库、矸石山、排土场、废石堆场、地下水等定期进行环境监测，并根据监测结果，采取了有效保护措施。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对地质环境破坏与恢复治理、土地损毁与复垦利用、生态系统破坏（退化）与恢复进行了动态监测。</w:t>
            </w:r>
            <w:r>
              <w:rPr>
                <w:rFonts w:ascii="Times New Roman" w:hAnsi="Times New Roman" w:eastAsia="仿宋_GB2312"/>
                <w:szCs w:val="21"/>
              </w:rPr>
              <w:t>符合要求得</w:t>
            </w: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  <w:r>
              <w:rPr>
                <w:rFonts w:ascii="Times New Roman" w:hAnsi="Times New Roman" w:eastAsia="仿宋_GB2312"/>
                <w:szCs w:val="21"/>
              </w:rPr>
              <w:t>分，</w:t>
            </w:r>
            <w:r>
              <w:rPr>
                <w:rFonts w:hint="eastAsia" w:ascii="Times New Roman" w:hAnsi="Times New Roman" w:eastAsia="仿宋_GB2312"/>
                <w:szCs w:val="21"/>
              </w:rPr>
              <w:t>不符合得0分</w:t>
            </w:r>
            <w:r>
              <w:rPr>
                <w:rFonts w:ascii="Times New Roman" w:hAnsi="Times New Roman" w:eastAsia="仿宋_GB2312"/>
                <w:szCs w:val="21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监测记录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《生态保护修复成效评估技术指南（试行）》（HJ 1272—2022）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、《矿山生态修复技术规范》(TD/T 1070)等相关标准规范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或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其他证明材料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  <w:r>
              <w:rPr>
                <w:rFonts w:ascii="Times New Roman" w:hAnsi="Times New Roman" w:eastAsia="仿宋_GB2312"/>
                <w:szCs w:val="21"/>
              </w:rPr>
              <w:t>环境管理体系（3分）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42</w:t>
            </w:r>
            <w:r>
              <w:rPr>
                <w:rFonts w:ascii="Times New Roman" w:hAnsi="Times New Roman" w:eastAsia="仿宋_GB2312"/>
                <w:szCs w:val="21"/>
              </w:rPr>
              <w:t>环境管理体系要求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建立环境管理机制，有完善的环境管理制度，配备了必要的环境管理机构和生态环境保护等专业技术人员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得1分。有环境管理日常监管记录，采取了环境风险防范措施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得1分。</w:t>
            </w:r>
            <w:r>
              <w:rPr>
                <w:rFonts w:ascii="Times New Roman" w:hAnsi="Times New Roman" w:eastAsia="仿宋_GB2312"/>
                <w:szCs w:val="21"/>
              </w:rPr>
              <w:t>获得环境管理体系认证，得1分。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环境管理制度、突发事件预案、认证证书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/>
              </w:rPr>
              <w:t>《生态保护修复成效评估技术指南（试行）》（HJ 1272—2022）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六、科技创新与规范管理（7项，12分）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1科技创新（3分）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43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研发及技改投入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具有技术研发队伍和专业技术人员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得0.5分；研发及技改投入不低于上年度主营业务收入的1.5%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得0.5分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；完成环评要求的专项研究，得0.5分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最多得1分。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生产报表（调度报表）或其他证明材料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44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创新成果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获得1项发明专利得0.5分，最多得2分；入选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《节地技术和节地模式推荐目录》或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最新版《矿产资源节约和综合利用先进适用技术目录》1项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1分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，最多得2分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；获得高新技术企业证书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得2分。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证书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或其他证明材料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2数字化矿山（4分）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45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集中管控平台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建设集中管控平台，能够将远程监控系统、自动控制系统、储量管理系统、生态环境监测管理系统等集中在大屏幕展示。符合要求得2分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，发现一项不符合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扣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0.5分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46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智能化应用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按照《智能矿山建设规范》（DZ/T 0376-2021）等标准开展智能矿山建设。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符合要求得2分。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《智能矿山建设规范》（DZ/T 0376-2021）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3规范管理（5分）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企业文化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制定绿色矿山建设年度计划，定期开展自评。制作绿色矿山宣传展板、标语和宣传片；建立人员目视化管理制度；建立职工收入随企业业绩同步增长机制；建设职工休闲、娱乐、文化体育设施并开展活动；职工满意度不低于70%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符合要求得1分，发现一项不符合</w:t>
            </w:r>
            <w:r>
              <w:rPr>
                <w:rFonts w:ascii="Times New Roman" w:hAnsi="Times New Roman" w:eastAsia="仿宋_GB2312"/>
                <w:color w:val="000000"/>
                <w:szCs w:val="21"/>
                <w:lang w:bidi="ar"/>
              </w:rPr>
              <w:t>扣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0.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查资料、查现场、调查走访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企业管理文件、自评材料、宣传片、活动证明、认证、证书、调查问卷原始记录等材料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提升性</w:t>
            </w:r>
          </w:p>
        </w:tc>
        <w:tc>
          <w:tcPr>
            <w:tcW w:w="915" w:type="dxa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企业诚信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eastAsia="zh-CN"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依法纳税，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按要求提交储量年报、储量表及矿产资源统计基础表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按规定缴存矿业权出让收益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。符合要求得2分，不符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合得0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税务及相关部门证明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7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5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矿地和谐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建立职业健康管理制度。建立良好</w:t>
            </w:r>
            <w:r>
              <w:rPr>
                <w:rFonts w:ascii="Times New Roman" w:hAnsi="Times New Roman" w:eastAsia="仿宋_GB2312"/>
                <w:color w:val="000000"/>
                <w:szCs w:val="21"/>
                <w:lang w:eastAsia="zh-CN" w:bidi="ar"/>
              </w:rPr>
              <w:t>矿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地关系，制定和公开申诉回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应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制度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，具有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联系机构与人员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及时妥善处理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与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受采矿活动影响的社区等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利益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相关者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间的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纠纷矛盾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维护当地生产、生活相关生态环境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。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在劳务用工、基础设施、公益募捐、教育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医疗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支持等</w:t>
            </w:r>
            <w:r>
              <w:rPr>
                <w:rFonts w:hint="eastAsia" w:ascii="Times New Roman" w:hAnsi="Times New Roman" w:eastAsia="仿宋_GB2312"/>
                <w:szCs w:val="21"/>
                <w:lang w:eastAsia="zh-CN" w:bidi="ar"/>
              </w:rPr>
              <w:t>一个及以上</w:t>
            </w:r>
            <w:r>
              <w:rPr>
                <w:rFonts w:ascii="Times New Roman" w:hAnsi="Times New Roman" w:eastAsia="仿宋_GB2312"/>
                <w:szCs w:val="21"/>
                <w:lang w:eastAsia="zh-CN" w:bidi="ar"/>
              </w:rPr>
              <w:t>方面开展帮扶，助力乡村振兴。</w:t>
            </w:r>
            <w:r>
              <w:rPr>
                <w:rFonts w:ascii="Times New Roman" w:hAnsi="Times New Roman" w:eastAsia="仿宋_GB2312"/>
                <w:szCs w:val="21"/>
                <w:lang w:bidi="ar"/>
              </w:rPr>
              <w:t>符合要求得2分，不符合得0分。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lang w:bidi="ar"/>
              </w:rPr>
              <w:t>查资料、调查走访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  <w:lang w:eastAsia="zh-CN"/>
              </w:rPr>
              <w:t>相关文件、票据等证明材料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约束性</w:t>
            </w:r>
          </w:p>
        </w:tc>
        <w:tc>
          <w:tcPr>
            <w:tcW w:w="915" w:type="dxa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</w:tbl>
    <w:p>
      <w:pPr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6838" w:h="11906" w:orient="landscape"/>
          <w:pgMar w:top="1588" w:right="2098" w:bottom="1474" w:left="1985" w:header="851" w:footer="907" w:gutter="0"/>
          <w:cols w:space="720" w:num="1"/>
          <w:docGrid w:linePitch="312" w:charSpace="0"/>
        </w:sectPr>
      </w:pPr>
    </w:p>
    <w:p>
      <w:pPr>
        <w:ind w:left="-594" w:leftChars="-270"/>
        <w:jc w:val="center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说 明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自治区级</w:t>
      </w:r>
      <w:r>
        <w:rPr>
          <w:rFonts w:ascii="Times New Roman" w:hAnsi="Times New Roman" w:eastAsia="仿宋_GB2312"/>
          <w:sz w:val="32"/>
          <w:szCs w:val="32"/>
          <w:lang w:eastAsia="zh-CN"/>
        </w:rPr>
        <w:t>绿色矿山建设评价指标》包含先决条件和评分表两部分。先决条件属于否决项，有一项达不到要求，则不能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申请纳入自治区级</w:t>
      </w:r>
      <w:r>
        <w:rPr>
          <w:rFonts w:ascii="Times New Roman" w:hAnsi="Times New Roman" w:eastAsia="仿宋_GB2312"/>
          <w:sz w:val="32"/>
          <w:szCs w:val="32"/>
          <w:lang w:eastAsia="zh-CN"/>
        </w:rPr>
        <w:t>绿色矿山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名录</w:t>
      </w:r>
      <w:r>
        <w:rPr>
          <w:rFonts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一、计分办法与达标说明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（一）评价指标共4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9</w:t>
      </w:r>
      <w:r>
        <w:rPr>
          <w:rFonts w:ascii="Times New Roman" w:hAnsi="Times New Roman" w:eastAsia="仿宋_GB2312"/>
          <w:sz w:val="32"/>
          <w:szCs w:val="32"/>
          <w:lang w:eastAsia="zh-CN"/>
        </w:rPr>
        <w:t>项，分约束性指标、提升性指标两类，分别从矿区环境、资源开采、资源综合利用、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绿色低碳</w:t>
      </w:r>
      <w:r>
        <w:rPr>
          <w:rFonts w:ascii="Times New Roman" w:hAnsi="Times New Roman" w:eastAsia="仿宋_GB2312"/>
          <w:sz w:val="32"/>
          <w:szCs w:val="32"/>
          <w:lang w:eastAsia="zh-CN"/>
        </w:rPr>
        <w:t>、生态修复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与环境治理</w:t>
      </w:r>
      <w:r>
        <w:rPr>
          <w:rFonts w:ascii="Times New Roman" w:hAnsi="Times New Roman" w:eastAsia="仿宋_GB2312"/>
          <w:sz w:val="32"/>
          <w:szCs w:val="32"/>
          <w:lang w:eastAsia="zh-CN"/>
        </w:rPr>
        <w:t>、科技创新与规范管理六个方面对绿色矿山建设水平进行评分。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（二）约束性指标共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</w:t>
      </w:r>
      <w:r>
        <w:rPr>
          <w:rFonts w:ascii="Times New Roman" w:hAnsi="Times New Roman" w:eastAsia="仿宋_GB2312"/>
          <w:sz w:val="32"/>
          <w:szCs w:val="32"/>
          <w:lang w:eastAsia="zh-CN"/>
        </w:rPr>
        <w:t>项，所有约束性指标必须得分，若一项得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0</w:t>
      </w:r>
      <w:r>
        <w:rPr>
          <w:rFonts w:ascii="Times New Roman" w:hAnsi="Times New Roman" w:eastAsia="仿宋_GB2312"/>
          <w:sz w:val="32"/>
          <w:szCs w:val="32"/>
          <w:lang w:eastAsia="zh-CN"/>
        </w:rPr>
        <w:t>分则不达标。提升性指标2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9</w:t>
      </w:r>
      <w:r>
        <w:rPr>
          <w:rFonts w:ascii="Times New Roman" w:hAnsi="Times New Roman" w:eastAsia="仿宋_GB2312"/>
          <w:sz w:val="32"/>
          <w:szCs w:val="32"/>
          <w:lang w:eastAsia="zh-CN"/>
        </w:rPr>
        <w:t>项，体现差异性，按评分表内的评分说明进行评分。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不</w:t>
      </w:r>
      <w:r>
        <w:rPr>
          <w:rFonts w:ascii="Times New Roman" w:hAnsi="Times New Roman" w:eastAsia="仿宋_GB2312"/>
          <w:sz w:val="32"/>
          <w:szCs w:val="32"/>
          <w:lang w:eastAsia="zh-CN"/>
        </w:rPr>
        <w:t>涉及项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计分</w:t>
      </w:r>
      <w:r>
        <w:rPr>
          <w:rFonts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经判定某项指标属于不涉及项的，按大类采用折合法计分。不涉及</w:t>
      </w:r>
      <w:r>
        <w:rPr>
          <w:rFonts w:ascii="Times New Roman" w:hAnsi="Times New Roman" w:eastAsia="仿宋_GB2312"/>
          <w:color w:val="000000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要在评分表中明确说明判定依据和理由</w:t>
      </w:r>
      <w:r>
        <w:rPr>
          <w:rFonts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/>
          <w:sz w:val="32"/>
          <w:szCs w:val="32"/>
          <w:lang w:eastAsia="zh-CN"/>
        </w:rPr>
        <w:t>）评价指标总分100分，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自治区级绿色矿山总得分不低于70分，推荐国家级绿色矿山总得分不低于80分。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二、评分说明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（一）某一指标评分说明属于扣分的，最多扣完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该项分值</w:t>
      </w:r>
      <w:r>
        <w:rPr>
          <w:rFonts w:ascii="Times New Roman" w:hAnsi="Times New Roman" w:eastAsia="仿宋_GB2312"/>
          <w:sz w:val="32"/>
          <w:szCs w:val="32"/>
          <w:lang w:eastAsia="zh-CN"/>
        </w:rPr>
        <w:t>。某一指标评分说明属于增分的，最多增至该项总分。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（二）所有得分必须有依据并要保留证明材料，在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  <w:lang w:eastAsia="zh-CN"/>
        </w:rPr>
        <w:t>检查记录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  <w:lang w:eastAsia="zh-CN"/>
        </w:rPr>
        <w:t>栏里写明得到相应分值的原因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lang w:eastAsia="zh-CN"/>
        </w:rPr>
        <w:t>缺少支撑材料或证明材料不得分。如需填写内容较多，可在评估报告中重点描述。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（三）对于集中建设的选矿加工等配套系统，应明确关联关系，可统一纳入评估考虑。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（四）对于调查问卷、现场考核、专家打分取平均值等评估方式，需要在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  <w:lang w:eastAsia="zh-CN"/>
        </w:rPr>
        <w:t>检查记录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  <w:lang w:eastAsia="zh-CN"/>
        </w:rPr>
        <w:t>说明里进行详细描述。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  <w:lang w:eastAsia="zh-CN"/>
        </w:rPr>
        <w:t>（五）需要现场查看的内容，在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  <w:lang w:eastAsia="zh-CN"/>
        </w:rPr>
        <w:t>检查记录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  <w:lang w:eastAsia="zh-CN"/>
        </w:rPr>
        <w:t>里应写明哪些工作人员到什么现场看了什么内容（设备、设施、厂地、环境、现场等）。</w:t>
      </w:r>
    </w:p>
    <w:sectPr>
      <w:footerReference r:id="rId4" w:type="default"/>
      <w:footerReference r:id="rId5" w:type="even"/>
      <w:pgSz w:w="11910" w:h="16840"/>
      <w:pgMar w:top="2098" w:right="1474" w:bottom="1985" w:left="1588" w:header="0" w:footer="90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57" w:firstLine="357"/>
      <w:jc w:val="right"/>
      <w:rPr>
        <w:rFonts w:ascii="Times New Roman" w:hAnsi="Times New Roman" w:eastAsia="仿宋_GB2312"/>
        <w:sz w:val="28"/>
        <w:szCs w:val="28"/>
      </w:rPr>
    </w:pPr>
    <w:r>
      <w:rPr>
        <w:rFonts w:hint="eastAsia" w:ascii="Times New Roman" w:hAnsi="Times New Roman" w:eastAsia="仿宋_GB2312" w:cstheme="majorBidi"/>
        <w:sz w:val="28"/>
        <w:szCs w:val="28"/>
        <w:lang w:val="zh-CN"/>
      </w:rPr>
      <w:t>－</w:t>
    </w:r>
    <w:r>
      <w:rPr>
        <w:rFonts w:ascii="Times New Roman" w:hAnsi="Times New Roman" w:eastAsia="仿宋_GB2312" w:cstheme="majorBidi"/>
        <w:sz w:val="28"/>
        <w:szCs w:val="28"/>
        <w:lang w:val="zh-CN"/>
      </w:rPr>
      <w:t xml:space="preserve"> </w:t>
    </w:r>
    <w:r>
      <w:rPr>
        <w:rFonts w:ascii="Times New Roman" w:hAnsi="Times New Roman" w:eastAsia="仿宋_GB2312" w:cs="Times New Roman"/>
        <w:sz w:val="28"/>
        <w:szCs w:val="28"/>
      </w:rPr>
      <w:fldChar w:fldCharType="begin"/>
    </w:r>
    <w:r>
      <w:rPr>
        <w:rFonts w:ascii="Times New Roman" w:hAnsi="Times New Roman" w:eastAsia="仿宋_GB2312" w:cs="Times New Roman"/>
        <w:sz w:val="28"/>
        <w:szCs w:val="28"/>
      </w:rPr>
      <w:instrText xml:space="preserve">PAGE    \* MERGEFORMAT</w:instrText>
    </w:r>
    <w:r>
      <w:rPr>
        <w:rFonts w:ascii="Times New Roman" w:hAnsi="Times New Roman" w:eastAsia="仿宋_GB2312" w:cs="Times New Roman"/>
        <w:sz w:val="28"/>
        <w:szCs w:val="28"/>
      </w:rPr>
      <w:fldChar w:fldCharType="separate"/>
    </w:r>
    <w:r>
      <w:rPr>
        <w:rFonts w:ascii="Times New Roman" w:hAnsi="Times New Roman" w:eastAsia="仿宋_GB2312" w:cs="Times New Roman"/>
        <w:sz w:val="28"/>
        <w:szCs w:val="28"/>
      </w:rPr>
      <w:t>31</w:t>
    </w:r>
    <w:r>
      <w:rPr>
        <w:rFonts w:ascii="Times New Roman" w:hAnsi="Times New Roman" w:eastAsia="仿宋_GB2312" w:cs="Times New Roman"/>
        <w:sz w:val="28"/>
        <w:szCs w:val="28"/>
      </w:rPr>
      <w:fldChar w:fldCharType="end"/>
    </w:r>
    <w:r>
      <w:rPr>
        <w:rFonts w:ascii="Times New Roman" w:hAnsi="Times New Roman" w:eastAsia="仿宋_GB2312" w:cstheme="majorBidi"/>
        <w:sz w:val="28"/>
        <w:szCs w:val="28"/>
        <w:lang w:val="zh-CN"/>
      </w:rPr>
      <w:t xml:space="preserve"> </w:t>
    </w:r>
    <w:r>
      <w:rPr>
        <w:rFonts w:hint="eastAsia" w:ascii="微软雅黑" w:hAnsi="微软雅黑" w:eastAsia="微软雅黑" w:cs="微软雅黑"/>
        <w:sz w:val="28"/>
        <w:szCs w:val="28"/>
        <w:lang w:val="zh-CN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57" w:firstLine="357"/>
      <w:jc w:val="right"/>
      <w:rPr>
        <w:rFonts w:ascii="Times New Roman" w:hAnsi="Times New Roman" w:eastAsia="仿宋_GB2312"/>
        <w:sz w:val="28"/>
        <w:szCs w:val="28"/>
      </w:rPr>
    </w:pPr>
    <w:r>
      <w:rPr>
        <w:rFonts w:hint="eastAsia" w:ascii="Times New Roman" w:hAnsi="Times New Roman" w:eastAsia="仿宋_GB2312" w:cstheme="majorBidi"/>
        <w:sz w:val="28"/>
        <w:szCs w:val="28"/>
        <w:lang w:val="zh-CN"/>
      </w:rPr>
      <w:t>－</w:t>
    </w:r>
    <w:r>
      <w:rPr>
        <w:rFonts w:ascii="Times New Roman" w:hAnsi="Times New Roman" w:eastAsia="仿宋_GB2312" w:cstheme="majorBidi"/>
        <w:sz w:val="28"/>
        <w:szCs w:val="28"/>
        <w:lang w:val="zh-CN"/>
      </w:rPr>
      <w:t xml:space="preserve"> </w:t>
    </w:r>
    <w:r>
      <w:rPr>
        <w:rFonts w:ascii="Times New Roman" w:hAnsi="Times New Roman" w:eastAsia="仿宋_GB2312" w:cs="Times New Roman"/>
        <w:sz w:val="28"/>
        <w:szCs w:val="28"/>
      </w:rPr>
      <w:fldChar w:fldCharType="begin"/>
    </w:r>
    <w:r>
      <w:rPr>
        <w:rFonts w:ascii="Times New Roman" w:hAnsi="Times New Roman" w:eastAsia="仿宋_GB2312" w:cs="Times New Roman"/>
        <w:sz w:val="28"/>
        <w:szCs w:val="28"/>
      </w:rPr>
      <w:instrText xml:space="preserve">PAGE    \* MERGEFORMAT</w:instrText>
    </w:r>
    <w:r>
      <w:rPr>
        <w:rFonts w:ascii="Times New Roman" w:hAnsi="Times New Roman" w:eastAsia="仿宋_GB2312" w:cs="Times New Roman"/>
        <w:sz w:val="28"/>
        <w:szCs w:val="28"/>
      </w:rPr>
      <w:fldChar w:fldCharType="separate"/>
    </w:r>
    <w:r>
      <w:rPr>
        <w:rFonts w:ascii="Times New Roman" w:hAnsi="Times New Roman" w:eastAsia="仿宋_GB2312" w:cs="Times New Roman"/>
        <w:sz w:val="28"/>
        <w:szCs w:val="28"/>
      </w:rPr>
      <w:t>45</w:t>
    </w:r>
    <w:r>
      <w:rPr>
        <w:rFonts w:ascii="Times New Roman" w:hAnsi="Times New Roman" w:eastAsia="仿宋_GB2312" w:cs="Times New Roman"/>
        <w:sz w:val="28"/>
        <w:szCs w:val="28"/>
      </w:rPr>
      <w:fldChar w:fldCharType="end"/>
    </w:r>
    <w:r>
      <w:rPr>
        <w:rFonts w:ascii="Times New Roman" w:hAnsi="Times New Roman" w:eastAsia="仿宋_GB2312" w:cstheme="majorBidi"/>
        <w:sz w:val="28"/>
        <w:szCs w:val="28"/>
        <w:lang w:val="zh-CN"/>
      </w:rPr>
      <w:t xml:space="preserve"> </w:t>
    </w:r>
    <w:r>
      <w:rPr>
        <w:rFonts w:hint="eastAsia" w:ascii="微软雅黑" w:hAnsi="微软雅黑" w:eastAsia="微软雅黑" w:cs="微软雅黑"/>
        <w:sz w:val="28"/>
        <w:szCs w:val="28"/>
        <w:lang w:val="zh-CN"/>
      </w:rPr>
      <w:t>―</w:t>
    </w:r>
  </w:p>
  <w:p>
    <w:pPr>
      <w:pStyle w:val="8"/>
      <w:spacing w:line="14" w:lineRule="auto"/>
      <w:rPr>
        <w:rFonts w:hint="eastAsia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57" w:firstLine="357"/>
      <w:rPr>
        <w:rFonts w:ascii="Times New Roman" w:hAnsi="Times New Roman" w:eastAsia="仿宋_GB2312"/>
        <w:sz w:val="28"/>
        <w:szCs w:val="28"/>
      </w:rPr>
    </w:pPr>
    <w:r>
      <w:rPr>
        <w:rFonts w:hint="eastAsia" w:ascii="Times New Roman" w:hAnsi="Times New Roman" w:eastAsia="仿宋_GB2312" w:cstheme="majorBidi"/>
        <w:sz w:val="28"/>
        <w:szCs w:val="28"/>
        <w:lang w:val="zh-CN"/>
      </w:rPr>
      <w:t>－</w:t>
    </w:r>
    <w:r>
      <w:rPr>
        <w:rFonts w:ascii="Times New Roman" w:hAnsi="Times New Roman" w:eastAsia="仿宋_GB2312" w:cstheme="majorBidi"/>
        <w:sz w:val="28"/>
        <w:szCs w:val="28"/>
        <w:lang w:val="zh-CN"/>
      </w:rPr>
      <w:t xml:space="preserve"> </w:t>
    </w:r>
    <w:r>
      <w:rPr>
        <w:rFonts w:ascii="Times New Roman" w:hAnsi="Times New Roman" w:eastAsia="仿宋_GB2312" w:cs="Times New Roman"/>
        <w:sz w:val="28"/>
        <w:szCs w:val="28"/>
      </w:rPr>
      <w:fldChar w:fldCharType="begin"/>
    </w:r>
    <w:r>
      <w:rPr>
        <w:rFonts w:ascii="Times New Roman" w:hAnsi="Times New Roman" w:eastAsia="仿宋_GB2312" w:cs="Times New Roman"/>
        <w:sz w:val="28"/>
        <w:szCs w:val="28"/>
      </w:rPr>
      <w:instrText xml:space="preserve">PAGE    \* MERGEFORMAT</w:instrText>
    </w:r>
    <w:r>
      <w:rPr>
        <w:rFonts w:ascii="Times New Roman" w:hAnsi="Times New Roman" w:eastAsia="仿宋_GB2312" w:cs="Times New Roman"/>
        <w:sz w:val="28"/>
        <w:szCs w:val="28"/>
      </w:rPr>
      <w:fldChar w:fldCharType="separate"/>
    </w:r>
    <w:r>
      <w:rPr>
        <w:rFonts w:ascii="Times New Roman" w:hAnsi="Times New Roman" w:eastAsia="仿宋_GB2312" w:cs="Times New Roman"/>
        <w:sz w:val="28"/>
        <w:szCs w:val="28"/>
      </w:rPr>
      <w:t>44</w:t>
    </w:r>
    <w:r>
      <w:rPr>
        <w:rFonts w:ascii="Times New Roman" w:hAnsi="Times New Roman" w:eastAsia="仿宋_GB2312" w:cs="Times New Roman"/>
        <w:sz w:val="28"/>
        <w:szCs w:val="28"/>
      </w:rPr>
      <w:fldChar w:fldCharType="end"/>
    </w:r>
    <w:r>
      <w:rPr>
        <w:rFonts w:ascii="Times New Roman" w:hAnsi="Times New Roman" w:eastAsia="仿宋_GB2312" w:cstheme="majorBidi"/>
        <w:sz w:val="28"/>
        <w:szCs w:val="28"/>
        <w:lang w:val="zh-CN"/>
      </w:rPr>
      <w:t xml:space="preserve"> </w:t>
    </w:r>
    <w:r>
      <w:rPr>
        <w:rFonts w:hint="eastAsia" w:ascii="微软雅黑" w:hAnsi="微软雅黑" w:eastAsia="微软雅黑" w:cs="微软雅黑"/>
        <w:sz w:val="28"/>
        <w:szCs w:val="28"/>
        <w:lang w:val="zh-CN"/>
      </w:rPr>
      <w:t>―</w:t>
    </w:r>
  </w:p>
  <w:p>
    <w:pPr>
      <w:pStyle w:val="8"/>
      <w:spacing w:line="14" w:lineRule="auto"/>
      <w:rPr>
        <w:rFonts w:hint="eastAsia"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12491"/>
    <w:multiLevelType w:val="multilevel"/>
    <w:tmpl w:val="45312491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  <w:rPr>
        <w:rFonts w:hint="default" w:ascii="黑体" w:hAnsi="黑体" w:eastAsia="黑体" w:cs="Calibri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 w:ascii="黑体" w:hAnsi="黑体" w:eastAsia="黑体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2MDI0NTdiNDVmMzY2Yzg1NTYxN2RkMGE3YTY4YjgifQ=="/>
  </w:docVars>
  <w:rsids>
    <w:rsidRoot w:val="00EE2828"/>
    <w:rsid w:val="00010131"/>
    <w:rsid w:val="0001297D"/>
    <w:rsid w:val="000166C7"/>
    <w:rsid w:val="00026D8C"/>
    <w:rsid w:val="00026FB8"/>
    <w:rsid w:val="00040828"/>
    <w:rsid w:val="00053E8B"/>
    <w:rsid w:val="00066FFE"/>
    <w:rsid w:val="000672E6"/>
    <w:rsid w:val="000765A1"/>
    <w:rsid w:val="00092C2B"/>
    <w:rsid w:val="00094B29"/>
    <w:rsid w:val="000A026C"/>
    <w:rsid w:val="000A0967"/>
    <w:rsid w:val="000A0E1F"/>
    <w:rsid w:val="000A15B4"/>
    <w:rsid w:val="000A2F5B"/>
    <w:rsid w:val="000A4295"/>
    <w:rsid w:val="000A4AD0"/>
    <w:rsid w:val="000A6D80"/>
    <w:rsid w:val="000B0FAD"/>
    <w:rsid w:val="000B15E0"/>
    <w:rsid w:val="000B1724"/>
    <w:rsid w:val="000B1B08"/>
    <w:rsid w:val="000B26A4"/>
    <w:rsid w:val="000C5253"/>
    <w:rsid w:val="000C5B9C"/>
    <w:rsid w:val="000D0B42"/>
    <w:rsid w:val="000D0EA0"/>
    <w:rsid w:val="000D2B28"/>
    <w:rsid w:val="000D3161"/>
    <w:rsid w:val="000D37C0"/>
    <w:rsid w:val="000E0967"/>
    <w:rsid w:val="000E1E2D"/>
    <w:rsid w:val="000E3D24"/>
    <w:rsid w:val="000E61AF"/>
    <w:rsid w:val="000E69C7"/>
    <w:rsid w:val="000F13E6"/>
    <w:rsid w:val="000F406B"/>
    <w:rsid w:val="000F4312"/>
    <w:rsid w:val="000F5D6C"/>
    <w:rsid w:val="000F704A"/>
    <w:rsid w:val="00100220"/>
    <w:rsid w:val="00103B36"/>
    <w:rsid w:val="00106767"/>
    <w:rsid w:val="00106E7B"/>
    <w:rsid w:val="00107120"/>
    <w:rsid w:val="00114167"/>
    <w:rsid w:val="001234F4"/>
    <w:rsid w:val="00132681"/>
    <w:rsid w:val="001365D7"/>
    <w:rsid w:val="00136FA6"/>
    <w:rsid w:val="0015214A"/>
    <w:rsid w:val="0015260D"/>
    <w:rsid w:val="001530EC"/>
    <w:rsid w:val="00165B3E"/>
    <w:rsid w:val="00170324"/>
    <w:rsid w:val="001774AD"/>
    <w:rsid w:val="00180DE3"/>
    <w:rsid w:val="001824BB"/>
    <w:rsid w:val="00182927"/>
    <w:rsid w:val="00184D4E"/>
    <w:rsid w:val="001871C8"/>
    <w:rsid w:val="001939B9"/>
    <w:rsid w:val="00195163"/>
    <w:rsid w:val="001957B7"/>
    <w:rsid w:val="00197154"/>
    <w:rsid w:val="001A382C"/>
    <w:rsid w:val="001A5173"/>
    <w:rsid w:val="001B0322"/>
    <w:rsid w:val="001B23B2"/>
    <w:rsid w:val="001B330D"/>
    <w:rsid w:val="001B4F77"/>
    <w:rsid w:val="001C4BFA"/>
    <w:rsid w:val="001C57AD"/>
    <w:rsid w:val="001D5BAD"/>
    <w:rsid w:val="001D76EB"/>
    <w:rsid w:val="001E2136"/>
    <w:rsid w:val="001E41B2"/>
    <w:rsid w:val="001F1CF8"/>
    <w:rsid w:val="001F386D"/>
    <w:rsid w:val="001F3FE6"/>
    <w:rsid w:val="0020189C"/>
    <w:rsid w:val="002060B3"/>
    <w:rsid w:val="00206225"/>
    <w:rsid w:val="002070A6"/>
    <w:rsid w:val="002077A5"/>
    <w:rsid w:val="00214A8E"/>
    <w:rsid w:val="00224172"/>
    <w:rsid w:val="002324B3"/>
    <w:rsid w:val="00232CD6"/>
    <w:rsid w:val="0023487B"/>
    <w:rsid w:val="00237025"/>
    <w:rsid w:val="00241544"/>
    <w:rsid w:val="00243896"/>
    <w:rsid w:val="002515F1"/>
    <w:rsid w:val="00254605"/>
    <w:rsid w:val="00256587"/>
    <w:rsid w:val="00256D54"/>
    <w:rsid w:val="00265542"/>
    <w:rsid w:val="00266B95"/>
    <w:rsid w:val="0027293B"/>
    <w:rsid w:val="002742A8"/>
    <w:rsid w:val="00277DFF"/>
    <w:rsid w:val="002831B9"/>
    <w:rsid w:val="00286B77"/>
    <w:rsid w:val="0029355C"/>
    <w:rsid w:val="00293584"/>
    <w:rsid w:val="00295E03"/>
    <w:rsid w:val="002A565D"/>
    <w:rsid w:val="002A5AC1"/>
    <w:rsid w:val="002A75A7"/>
    <w:rsid w:val="002B5070"/>
    <w:rsid w:val="002B5E9A"/>
    <w:rsid w:val="002C3DA6"/>
    <w:rsid w:val="002C476E"/>
    <w:rsid w:val="002C6CEE"/>
    <w:rsid w:val="002D0B1F"/>
    <w:rsid w:val="002D5243"/>
    <w:rsid w:val="002D61BF"/>
    <w:rsid w:val="002E1B45"/>
    <w:rsid w:val="002E53CB"/>
    <w:rsid w:val="002F5AA2"/>
    <w:rsid w:val="00317942"/>
    <w:rsid w:val="00326E08"/>
    <w:rsid w:val="00337566"/>
    <w:rsid w:val="00341FAE"/>
    <w:rsid w:val="00344CAA"/>
    <w:rsid w:val="0035466C"/>
    <w:rsid w:val="003546B0"/>
    <w:rsid w:val="003752D9"/>
    <w:rsid w:val="0037737A"/>
    <w:rsid w:val="003775CE"/>
    <w:rsid w:val="00381878"/>
    <w:rsid w:val="00382AB8"/>
    <w:rsid w:val="00383E27"/>
    <w:rsid w:val="00386D55"/>
    <w:rsid w:val="00395010"/>
    <w:rsid w:val="00397FA2"/>
    <w:rsid w:val="003B0909"/>
    <w:rsid w:val="003B1AEA"/>
    <w:rsid w:val="003C0C76"/>
    <w:rsid w:val="003D69A2"/>
    <w:rsid w:val="003E03C8"/>
    <w:rsid w:val="003F3AB0"/>
    <w:rsid w:val="003F702E"/>
    <w:rsid w:val="0040511E"/>
    <w:rsid w:val="004141D8"/>
    <w:rsid w:val="00423504"/>
    <w:rsid w:val="00431AC2"/>
    <w:rsid w:val="004323C0"/>
    <w:rsid w:val="00436646"/>
    <w:rsid w:val="00437666"/>
    <w:rsid w:val="00444869"/>
    <w:rsid w:val="00450D5C"/>
    <w:rsid w:val="00452D09"/>
    <w:rsid w:val="0046170E"/>
    <w:rsid w:val="004634A8"/>
    <w:rsid w:val="00464124"/>
    <w:rsid w:val="00464E9D"/>
    <w:rsid w:val="00473CA3"/>
    <w:rsid w:val="00481820"/>
    <w:rsid w:val="0048592A"/>
    <w:rsid w:val="0048624B"/>
    <w:rsid w:val="00497F5F"/>
    <w:rsid w:val="004A17EF"/>
    <w:rsid w:val="004A4595"/>
    <w:rsid w:val="004B3771"/>
    <w:rsid w:val="004C5710"/>
    <w:rsid w:val="004C66FA"/>
    <w:rsid w:val="004E084E"/>
    <w:rsid w:val="004E1EFF"/>
    <w:rsid w:val="004E319C"/>
    <w:rsid w:val="004E623D"/>
    <w:rsid w:val="004E6B39"/>
    <w:rsid w:val="004F019B"/>
    <w:rsid w:val="004F1322"/>
    <w:rsid w:val="004F212D"/>
    <w:rsid w:val="004F3EB6"/>
    <w:rsid w:val="0050318F"/>
    <w:rsid w:val="00506218"/>
    <w:rsid w:val="00507C5E"/>
    <w:rsid w:val="00507F2A"/>
    <w:rsid w:val="00512763"/>
    <w:rsid w:val="00521A25"/>
    <w:rsid w:val="00523782"/>
    <w:rsid w:val="00527C31"/>
    <w:rsid w:val="00530F4F"/>
    <w:rsid w:val="005372A3"/>
    <w:rsid w:val="00540769"/>
    <w:rsid w:val="0054578D"/>
    <w:rsid w:val="0054676A"/>
    <w:rsid w:val="00550936"/>
    <w:rsid w:val="00555A1E"/>
    <w:rsid w:val="00561F2C"/>
    <w:rsid w:val="0056359D"/>
    <w:rsid w:val="00565627"/>
    <w:rsid w:val="00566C9F"/>
    <w:rsid w:val="00575704"/>
    <w:rsid w:val="00575A6B"/>
    <w:rsid w:val="0057689B"/>
    <w:rsid w:val="005821EA"/>
    <w:rsid w:val="00594BCE"/>
    <w:rsid w:val="005A5192"/>
    <w:rsid w:val="005C1947"/>
    <w:rsid w:val="005C55F7"/>
    <w:rsid w:val="005C5DCA"/>
    <w:rsid w:val="005D1EAA"/>
    <w:rsid w:val="005D5E0E"/>
    <w:rsid w:val="005F6247"/>
    <w:rsid w:val="0060333A"/>
    <w:rsid w:val="00603B8E"/>
    <w:rsid w:val="0060743B"/>
    <w:rsid w:val="006112EB"/>
    <w:rsid w:val="00611B38"/>
    <w:rsid w:val="006141E9"/>
    <w:rsid w:val="00623A15"/>
    <w:rsid w:val="00627168"/>
    <w:rsid w:val="006307B6"/>
    <w:rsid w:val="00632437"/>
    <w:rsid w:val="00632D26"/>
    <w:rsid w:val="00640F21"/>
    <w:rsid w:val="00652086"/>
    <w:rsid w:val="006532AF"/>
    <w:rsid w:val="0065709D"/>
    <w:rsid w:val="00660FA6"/>
    <w:rsid w:val="006828E3"/>
    <w:rsid w:val="00685B0B"/>
    <w:rsid w:val="00691B3B"/>
    <w:rsid w:val="00695EB6"/>
    <w:rsid w:val="0069790E"/>
    <w:rsid w:val="006A18A8"/>
    <w:rsid w:val="006A1918"/>
    <w:rsid w:val="006A5022"/>
    <w:rsid w:val="006B207D"/>
    <w:rsid w:val="006B67EF"/>
    <w:rsid w:val="006C0685"/>
    <w:rsid w:val="006C384D"/>
    <w:rsid w:val="006D10ED"/>
    <w:rsid w:val="006D167C"/>
    <w:rsid w:val="006D3E49"/>
    <w:rsid w:val="006D6536"/>
    <w:rsid w:val="006E0B3B"/>
    <w:rsid w:val="006E3390"/>
    <w:rsid w:val="006E491C"/>
    <w:rsid w:val="006E4C87"/>
    <w:rsid w:val="006F3753"/>
    <w:rsid w:val="00701FC5"/>
    <w:rsid w:val="00704032"/>
    <w:rsid w:val="007063F0"/>
    <w:rsid w:val="00707582"/>
    <w:rsid w:val="00711776"/>
    <w:rsid w:val="00711900"/>
    <w:rsid w:val="00714E43"/>
    <w:rsid w:val="007162C6"/>
    <w:rsid w:val="00717A08"/>
    <w:rsid w:val="00717A72"/>
    <w:rsid w:val="007307CA"/>
    <w:rsid w:val="00731319"/>
    <w:rsid w:val="00743E9F"/>
    <w:rsid w:val="00744320"/>
    <w:rsid w:val="00750892"/>
    <w:rsid w:val="00754F3F"/>
    <w:rsid w:val="00755357"/>
    <w:rsid w:val="007614B1"/>
    <w:rsid w:val="00771B1A"/>
    <w:rsid w:val="0077278B"/>
    <w:rsid w:val="007732FB"/>
    <w:rsid w:val="00774074"/>
    <w:rsid w:val="00775A8D"/>
    <w:rsid w:val="00781746"/>
    <w:rsid w:val="007A137D"/>
    <w:rsid w:val="007A31A2"/>
    <w:rsid w:val="007B081D"/>
    <w:rsid w:val="007B09BF"/>
    <w:rsid w:val="007C25B8"/>
    <w:rsid w:val="007C32F0"/>
    <w:rsid w:val="007C362C"/>
    <w:rsid w:val="007D2A04"/>
    <w:rsid w:val="007E13A6"/>
    <w:rsid w:val="007E1635"/>
    <w:rsid w:val="007E6CFB"/>
    <w:rsid w:val="007F082A"/>
    <w:rsid w:val="007F2199"/>
    <w:rsid w:val="007F6DC7"/>
    <w:rsid w:val="007F7B81"/>
    <w:rsid w:val="00806125"/>
    <w:rsid w:val="00815851"/>
    <w:rsid w:val="0081616A"/>
    <w:rsid w:val="008164C3"/>
    <w:rsid w:val="00817DC3"/>
    <w:rsid w:val="0082267F"/>
    <w:rsid w:val="00830F44"/>
    <w:rsid w:val="00831635"/>
    <w:rsid w:val="00835356"/>
    <w:rsid w:val="00835A03"/>
    <w:rsid w:val="00843E75"/>
    <w:rsid w:val="00846E52"/>
    <w:rsid w:val="008531C7"/>
    <w:rsid w:val="0085553B"/>
    <w:rsid w:val="0085588A"/>
    <w:rsid w:val="00857224"/>
    <w:rsid w:val="00857CEE"/>
    <w:rsid w:val="00862353"/>
    <w:rsid w:val="00864E83"/>
    <w:rsid w:val="008766D8"/>
    <w:rsid w:val="008774D9"/>
    <w:rsid w:val="00877577"/>
    <w:rsid w:val="00877648"/>
    <w:rsid w:val="008823F5"/>
    <w:rsid w:val="0088580B"/>
    <w:rsid w:val="00894891"/>
    <w:rsid w:val="008A58B6"/>
    <w:rsid w:val="008A5AB2"/>
    <w:rsid w:val="008A5E1D"/>
    <w:rsid w:val="008A67C6"/>
    <w:rsid w:val="008A7205"/>
    <w:rsid w:val="008B35CB"/>
    <w:rsid w:val="008B4899"/>
    <w:rsid w:val="008B7699"/>
    <w:rsid w:val="008C355C"/>
    <w:rsid w:val="008C45A9"/>
    <w:rsid w:val="008C532A"/>
    <w:rsid w:val="008E4E99"/>
    <w:rsid w:val="008F2110"/>
    <w:rsid w:val="008F49E3"/>
    <w:rsid w:val="00900F0C"/>
    <w:rsid w:val="009051A1"/>
    <w:rsid w:val="009057E5"/>
    <w:rsid w:val="009104EC"/>
    <w:rsid w:val="00912DAA"/>
    <w:rsid w:val="00913507"/>
    <w:rsid w:val="0091789C"/>
    <w:rsid w:val="00917F99"/>
    <w:rsid w:val="00930AB5"/>
    <w:rsid w:val="009374C3"/>
    <w:rsid w:val="00940FAB"/>
    <w:rsid w:val="009417F9"/>
    <w:rsid w:val="0095349B"/>
    <w:rsid w:val="009539BC"/>
    <w:rsid w:val="00955814"/>
    <w:rsid w:val="00961BF6"/>
    <w:rsid w:val="00965829"/>
    <w:rsid w:val="009676B6"/>
    <w:rsid w:val="009718DB"/>
    <w:rsid w:val="00973032"/>
    <w:rsid w:val="00973B53"/>
    <w:rsid w:val="0097502E"/>
    <w:rsid w:val="0097555E"/>
    <w:rsid w:val="00983866"/>
    <w:rsid w:val="009A1E84"/>
    <w:rsid w:val="009A4C63"/>
    <w:rsid w:val="009B2844"/>
    <w:rsid w:val="009B2BE6"/>
    <w:rsid w:val="009B62A1"/>
    <w:rsid w:val="009C09BC"/>
    <w:rsid w:val="009C1395"/>
    <w:rsid w:val="009C426D"/>
    <w:rsid w:val="009D498E"/>
    <w:rsid w:val="009D6599"/>
    <w:rsid w:val="009D6C6C"/>
    <w:rsid w:val="009E0419"/>
    <w:rsid w:val="009E3B30"/>
    <w:rsid w:val="009E428D"/>
    <w:rsid w:val="009E6E13"/>
    <w:rsid w:val="009E7EFE"/>
    <w:rsid w:val="009F2DE6"/>
    <w:rsid w:val="009F4007"/>
    <w:rsid w:val="009F737F"/>
    <w:rsid w:val="00A02344"/>
    <w:rsid w:val="00A05D8A"/>
    <w:rsid w:val="00A06CA8"/>
    <w:rsid w:val="00A0716E"/>
    <w:rsid w:val="00A11235"/>
    <w:rsid w:val="00A13D62"/>
    <w:rsid w:val="00A16831"/>
    <w:rsid w:val="00A17A26"/>
    <w:rsid w:val="00A24E6A"/>
    <w:rsid w:val="00A322A9"/>
    <w:rsid w:val="00A45584"/>
    <w:rsid w:val="00A63303"/>
    <w:rsid w:val="00A633F8"/>
    <w:rsid w:val="00A6531B"/>
    <w:rsid w:val="00A65A40"/>
    <w:rsid w:val="00A66A5B"/>
    <w:rsid w:val="00A672AA"/>
    <w:rsid w:val="00A674F6"/>
    <w:rsid w:val="00A70EA9"/>
    <w:rsid w:val="00A7358C"/>
    <w:rsid w:val="00A76D25"/>
    <w:rsid w:val="00A77ADD"/>
    <w:rsid w:val="00A839DB"/>
    <w:rsid w:val="00A86C49"/>
    <w:rsid w:val="00A91818"/>
    <w:rsid w:val="00A91E73"/>
    <w:rsid w:val="00A92C62"/>
    <w:rsid w:val="00AA0BF6"/>
    <w:rsid w:val="00AA0BFB"/>
    <w:rsid w:val="00AA4BA7"/>
    <w:rsid w:val="00AA6EFD"/>
    <w:rsid w:val="00AA76EA"/>
    <w:rsid w:val="00AB1A36"/>
    <w:rsid w:val="00AB2581"/>
    <w:rsid w:val="00AC2F48"/>
    <w:rsid w:val="00AC330A"/>
    <w:rsid w:val="00AC3B7B"/>
    <w:rsid w:val="00AD05A5"/>
    <w:rsid w:val="00AD0666"/>
    <w:rsid w:val="00AD6987"/>
    <w:rsid w:val="00AE2653"/>
    <w:rsid w:val="00AE433D"/>
    <w:rsid w:val="00AF018F"/>
    <w:rsid w:val="00B05C45"/>
    <w:rsid w:val="00B16BB9"/>
    <w:rsid w:val="00B32569"/>
    <w:rsid w:val="00B33E98"/>
    <w:rsid w:val="00B406F8"/>
    <w:rsid w:val="00B46C8F"/>
    <w:rsid w:val="00B4724C"/>
    <w:rsid w:val="00B4796A"/>
    <w:rsid w:val="00B47EB5"/>
    <w:rsid w:val="00B614A1"/>
    <w:rsid w:val="00B64ECB"/>
    <w:rsid w:val="00B660F0"/>
    <w:rsid w:val="00B6675F"/>
    <w:rsid w:val="00B72FEA"/>
    <w:rsid w:val="00B82E35"/>
    <w:rsid w:val="00B84AA7"/>
    <w:rsid w:val="00B85733"/>
    <w:rsid w:val="00B90A35"/>
    <w:rsid w:val="00B9570B"/>
    <w:rsid w:val="00B96955"/>
    <w:rsid w:val="00BA4ADB"/>
    <w:rsid w:val="00BA7977"/>
    <w:rsid w:val="00BB06C8"/>
    <w:rsid w:val="00BB37C5"/>
    <w:rsid w:val="00BB5192"/>
    <w:rsid w:val="00BC246D"/>
    <w:rsid w:val="00BC2CAA"/>
    <w:rsid w:val="00BC44C1"/>
    <w:rsid w:val="00BC5590"/>
    <w:rsid w:val="00BD683C"/>
    <w:rsid w:val="00BE0401"/>
    <w:rsid w:val="00BF1545"/>
    <w:rsid w:val="00BF4AE1"/>
    <w:rsid w:val="00BF4F82"/>
    <w:rsid w:val="00BF6983"/>
    <w:rsid w:val="00C05FFD"/>
    <w:rsid w:val="00C06F3B"/>
    <w:rsid w:val="00C11C0F"/>
    <w:rsid w:val="00C12274"/>
    <w:rsid w:val="00C16D5F"/>
    <w:rsid w:val="00C20A5B"/>
    <w:rsid w:val="00C22112"/>
    <w:rsid w:val="00C244AC"/>
    <w:rsid w:val="00C27837"/>
    <w:rsid w:val="00C32AB8"/>
    <w:rsid w:val="00C35EE9"/>
    <w:rsid w:val="00C40276"/>
    <w:rsid w:val="00C40D55"/>
    <w:rsid w:val="00C4669B"/>
    <w:rsid w:val="00C507CA"/>
    <w:rsid w:val="00C52A2E"/>
    <w:rsid w:val="00C601FA"/>
    <w:rsid w:val="00C6537C"/>
    <w:rsid w:val="00C70557"/>
    <w:rsid w:val="00C71E56"/>
    <w:rsid w:val="00C72927"/>
    <w:rsid w:val="00C76856"/>
    <w:rsid w:val="00C802D4"/>
    <w:rsid w:val="00C8411C"/>
    <w:rsid w:val="00C84880"/>
    <w:rsid w:val="00C84AFC"/>
    <w:rsid w:val="00CA05BF"/>
    <w:rsid w:val="00CA6642"/>
    <w:rsid w:val="00CB0721"/>
    <w:rsid w:val="00CB2477"/>
    <w:rsid w:val="00CB3DE4"/>
    <w:rsid w:val="00CB5E13"/>
    <w:rsid w:val="00CC0155"/>
    <w:rsid w:val="00CC190D"/>
    <w:rsid w:val="00CC2741"/>
    <w:rsid w:val="00CC2D5A"/>
    <w:rsid w:val="00CC5B1F"/>
    <w:rsid w:val="00CC67D3"/>
    <w:rsid w:val="00CE11C5"/>
    <w:rsid w:val="00CE437B"/>
    <w:rsid w:val="00CE5F77"/>
    <w:rsid w:val="00CF0139"/>
    <w:rsid w:val="00CF6308"/>
    <w:rsid w:val="00D01686"/>
    <w:rsid w:val="00D0580C"/>
    <w:rsid w:val="00D17330"/>
    <w:rsid w:val="00D21A8F"/>
    <w:rsid w:val="00D21F73"/>
    <w:rsid w:val="00D24BB3"/>
    <w:rsid w:val="00D25587"/>
    <w:rsid w:val="00D34B5C"/>
    <w:rsid w:val="00D434FD"/>
    <w:rsid w:val="00D440B6"/>
    <w:rsid w:val="00D47D36"/>
    <w:rsid w:val="00D5220B"/>
    <w:rsid w:val="00D72422"/>
    <w:rsid w:val="00D84276"/>
    <w:rsid w:val="00DA55AC"/>
    <w:rsid w:val="00DC23DF"/>
    <w:rsid w:val="00DD18FF"/>
    <w:rsid w:val="00DD251D"/>
    <w:rsid w:val="00DD5B5D"/>
    <w:rsid w:val="00DD6146"/>
    <w:rsid w:val="00DE1646"/>
    <w:rsid w:val="00DE3B2F"/>
    <w:rsid w:val="00DE4E1C"/>
    <w:rsid w:val="00E0484E"/>
    <w:rsid w:val="00E05C21"/>
    <w:rsid w:val="00E07324"/>
    <w:rsid w:val="00E10D36"/>
    <w:rsid w:val="00E249DC"/>
    <w:rsid w:val="00E252FE"/>
    <w:rsid w:val="00E323B3"/>
    <w:rsid w:val="00E33A72"/>
    <w:rsid w:val="00E377EA"/>
    <w:rsid w:val="00E42FBE"/>
    <w:rsid w:val="00E44D1E"/>
    <w:rsid w:val="00E5393D"/>
    <w:rsid w:val="00E540AD"/>
    <w:rsid w:val="00E61EC6"/>
    <w:rsid w:val="00E64FE0"/>
    <w:rsid w:val="00E65FC6"/>
    <w:rsid w:val="00E73278"/>
    <w:rsid w:val="00E760F6"/>
    <w:rsid w:val="00E818C5"/>
    <w:rsid w:val="00E82534"/>
    <w:rsid w:val="00E82DD4"/>
    <w:rsid w:val="00E837B5"/>
    <w:rsid w:val="00E87AAC"/>
    <w:rsid w:val="00E91A01"/>
    <w:rsid w:val="00E95476"/>
    <w:rsid w:val="00E9550C"/>
    <w:rsid w:val="00E961F1"/>
    <w:rsid w:val="00E9673E"/>
    <w:rsid w:val="00EA6DC4"/>
    <w:rsid w:val="00EA7563"/>
    <w:rsid w:val="00EB011C"/>
    <w:rsid w:val="00EB0D50"/>
    <w:rsid w:val="00EB6141"/>
    <w:rsid w:val="00EC1637"/>
    <w:rsid w:val="00EC69DD"/>
    <w:rsid w:val="00EC775E"/>
    <w:rsid w:val="00ED0145"/>
    <w:rsid w:val="00ED1C07"/>
    <w:rsid w:val="00ED3126"/>
    <w:rsid w:val="00EE0264"/>
    <w:rsid w:val="00EE2828"/>
    <w:rsid w:val="00EE64CC"/>
    <w:rsid w:val="00EE7A8F"/>
    <w:rsid w:val="00EF02BB"/>
    <w:rsid w:val="00EF2A07"/>
    <w:rsid w:val="00EF3137"/>
    <w:rsid w:val="00F06C69"/>
    <w:rsid w:val="00F10E28"/>
    <w:rsid w:val="00F1151A"/>
    <w:rsid w:val="00F14946"/>
    <w:rsid w:val="00F20140"/>
    <w:rsid w:val="00F2628E"/>
    <w:rsid w:val="00F34065"/>
    <w:rsid w:val="00F348E3"/>
    <w:rsid w:val="00F3572D"/>
    <w:rsid w:val="00F35EEA"/>
    <w:rsid w:val="00F37A43"/>
    <w:rsid w:val="00F47CB1"/>
    <w:rsid w:val="00F53996"/>
    <w:rsid w:val="00F546F7"/>
    <w:rsid w:val="00F56A7E"/>
    <w:rsid w:val="00F57653"/>
    <w:rsid w:val="00F61969"/>
    <w:rsid w:val="00F667C3"/>
    <w:rsid w:val="00F66928"/>
    <w:rsid w:val="00F67A01"/>
    <w:rsid w:val="00F7033C"/>
    <w:rsid w:val="00F81794"/>
    <w:rsid w:val="00F82C56"/>
    <w:rsid w:val="00F83D88"/>
    <w:rsid w:val="00F86D97"/>
    <w:rsid w:val="00F92ADD"/>
    <w:rsid w:val="00F9608E"/>
    <w:rsid w:val="00FA1FCC"/>
    <w:rsid w:val="00FA64C8"/>
    <w:rsid w:val="00FB4536"/>
    <w:rsid w:val="00FC5ADC"/>
    <w:rsid w:val="00FD07B7"/>
    <w:rsid w:val="00FD3C96"/>
    <w:rsid w:val="00FE1201"/>
    <w:rsid w:val="00FE2177"/>
    <w:rsid w:val="00FE5BD9"/>
    <w:rsid w:val="02DF5D49"/>
    <w:rsid w:val="03822D22"/>
    <w:rsid w:val="0A8A0A16"/>
    <w:rsid w:val="1CC36F99"/>
    <w:rsid w:val="226339DA"/>
    <w:rsid w:val="2A4E0B6A"/>
    <w:rsid w:val="2CAA7546"/>
    <w:rsid w:val="2EDE1D56"/>
    <w:rsid w:val="2F837F80"/>
    <w:rsid w:val="39C40B6E"/>
    <w:rsid w:val="3E8C0D5C"/>
    <w:rsid w:val="3FD60E4A"/>
    <w:rsid w:val="41BA1418"/>
    <w:rsid w:val="42FC7797"/>
    <w:rsid w:val="4B692A34"/>
    <w:rsid w:val="4D170188"/>
    <w:rsid w:val="4F4B25E9"/>
    <w:rsid w:val="53B25039"/>
    <w:rsid w:val="54395266"/>
    <w:rsid w:val="56380D0D"/>
    <w:rsid w:val="571D727F"/>
    <w:rsid w:val="610C1282"/>
    <w:rsid w:val="63C06C1B"/>
    <w:rsid w:val="6CBA68FB"/>
    <w:rsid w:val="6EE27E86"/>
    <w:rsid w:val="7DAC07AB"/>
    <w:rsid w:val="7F2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9"/>
    <w:pPr>
      <w:ind w:left="484"/>
      <w:outlineLvl w:val="0"/>
    </w:pPr>
    <w:rPr>
      <w:rFonts w:ascii="小标宋" w:hAnsi="小标宋" w:eastAsia="小标宋" w:cs="小标宋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Lines="50" w:afterLines="50"/>
      <w:outlineLvl w:val="1"/>
    </w:pPr>
    <w:rPr>
      <w:rFonts w:ascii="Cambria" w:hAnsi="Cambria" w:eastAsia="黑体"/>
      <w:bCs/>
      <w:szCs w:val="32"/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7">
    <w:name w:val="annotation text"/>
    <w:basedOn w:val="1"/>
    <w:semiHidden/>
    <w:unhideWhenUsed/>
    <w:qFormat/>
    <w:uiPriority w:val="99"/>
  </w:style>
  <w:style w:type="paragraph" w:styleId="8">
    <w:name w:val="Body Text"/>
    <w:basedOn w:val="1"/>
    <w:link w:val="33"/>
    <w:qFormat/>
    <w:uiPriority w:val="1"/>
    <w:rPr>
      <w:sz w:val="32"/>
      <w:szCs w:val="32"/>
    </w:rPr>
  </w:style>
  <w:style w:type="paragraph" w:styleId="9">
    <w:name w:val="Date"/>
    <w:basedOn w:val="1"/>
    <w:next w:val="1"/>
    <w:link w:val="31"/>
    <w:semiHidden/>
    <w:unhideWhenUsed/>
    <w:qFormat/>
    <w:uiPriority w:val="99"/>
    <w:pPr>
      <w:autoSpaceDE/>
      <w:autoSpaceDN/>
      <w:ind w:left="100" w:leftChars="2500"/>
      <w:jc w:val="both"/>
    </w:pPr>
    <w:rPr>
      <w:rFonts w:asciiTheme="minorHAnsi" w:hAnsiTheme="minorHAnsi" w:eastAsiaTheme="minorEastAsia" w:cstheme="minorBidi"/>
      <w:kern w:val="2"/>
      <w:sz w:val="21"/>
      <w:lang w:eastAsia="zh-CN"/>
    </w:rPr>
  </w:style>
  <w:style w:type="paragraph" w:styleId="10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14">
    <w:name w:val="Title"/>
    <w:basedOn w:val="1"/>
    <w:qFormat/>
    <w:uiPriority w:val="10"/>
    <w:pPr>
      <w:spacing w:line="1726" w:lineRule="exact"/>
      <w:ind w:right="342"/>
      <w:jc w:val="center"/>
    </w:pPr>
    <w:rPr>
      <w:rFonts w:ascii="小标宋" w:hAnsi="小标宋" w:eastAsia="小标宋" w:cs="小标宋"/>
      <w:sz w:val="100"/>
      <w:szCs w:val="100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table" w:customStyle="1" w:styleId="2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0"/>
  </w:style>
  <w:style w:type="paragraph" w:customStyle="1" w:styleId="22">
    <w:name w:val="Table Paragraph"/>
    <w:basedOn w:val="1"/>
    <w:qFormat/>
    <w:uiPriority w:val="1"/>
    <w:pPr>
      <w:spacing w:before="240" w:beforeLines="100" w:after="240" w:afterLines="100" w:line="560" w:lineRule="exact"/>
      <w:jc w:val="center"/>
      <w:outlineLvl w:val="0"/>
    </w:pPr>
    <w:rPr>
      <w:rFonts w:ascii="黑体" w:hAnsi="黑体" w:eastAsia="黑体" w:cs="宋体"/>
      <w:sz w:val="32"/>
      <w:szCs w:val="32"/>
      <w:lang w:eastAsia="zh-CN"/>
    </w:rPr>
  </w:style>
  <w:style w:type="character" w:customStyle="1" w:styleId="23">
    <w:name w:val="页眉 字符"/>
    <w:basedOn w:val="17"/>
    <w:link w:val="12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24">
    <w:name w:val="页脚 字符"/>
    <w:basedOn w:val="17"/>
    <w:link w:val="11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25">
    <w:name w:val="标题 3 字符"/>
    <w:basedOn w:val="17"/>
    <w:link w:val="5"/>
    <w:semiHidden/>
    <w:qFormat/>
    <w:uiPriority w:val="9"/>
    <w:rPr>
      <w:rFonts w:ascii="仿宋" w:hAnsi="仿宋" w:eastAsia="仿宋" w:cs="仿宋"/>
      <w:b/>
      <w:bCs/>
      <w:sz w:val="32"/>
      <w:szCs w:val="32"/>
    </w:rPr>
  </w:style>
  <w:style w:type="paragraph" w:customStyle="1" w:styleId="26">
    <w:name w:val="Normal Indent1"/>
    <w:basedOn w:val="1"/>
    <w:qFormat/>
    <w:uiPriority w:val="99"/>
    <w:pPr>
      <w:autoSpaceDE/>
      <w:autoSpaceDN/>
      <w:spacing w:line="520" w:lineRule="exact"/>
      <w:ind w:right="640"/>
      <w:jc w:val="both"/>
    </w:pPr>
    <w:rPr>
      <w:rFonts w:ascii="Times New Roman" w:hAnsi="Times New Roman" w:eastAsia="仿宋_GB2312"/>
      <w:kern w:val="2"/>
      <w:sz w:val="32"/>
      <w:szCs w:val="32"/>
      <w:lang w:eastAsia="zh-CN"/>
    </w:rPr>
  </w:style>
  <w:style w:type="paragraph" w:customStyle="1" w:styleId="27">
    <w:name w:val="text-tag"/>
    <w:basedOn w:val="1"/>
    <w:qFormat/>
    <w:uiPriority w:val="0"/>
    <w:pPr>
      <w:widowControl/>
      <w:autoSpaceDE/>
      <w:autoSpaceDN/>
      <w:spacing w:before="100" w:beforeAutospacing="1" w:after="100" w:afterAutospacing="1" w:line="200" w:lineRule="exact"/>
    </w:pPr>
    <w:rPr>
      <w:rFonts w:ascii="宋体" w:hAnsi="Times New Roman" w:eastAsia="宋体" w:cs="宋体"/>
      <w:sz w:val="24"/>
      <w:szCs w:val="24"/>
      <w:lang w:eastAsia="zh-CN"/>
    </w:rPr>
  </w:style>
  <w:style w:type="character" w:customStyle="1" w:styleId="28">
    <w:name w:val="font71"/>
    <w:basedOn w:val="17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29">
    <w:name w:val="font61"/>
    <w:basedOn w:val="17"/>
    <w:qFormat/>
    <w:uiPriority w:val="0"/>
    <w:rPr>
      <w:rFonts w:ascii="仿宋" w:hAnsi="仿宋" w:eastAsia="仿宋" w:cs="仿宋"/>
      <w:color w:val="000000"/>
      <w:sz w:val="32"/>
      <w:szCs w:val="32"/>
      <w:u w:val="none"/>
    </w:rPr>
  </w:style>
  <w:style w:type="character" w:customStyle="1" w:styleId="30">
    <w:name w:val="标题 4 字符"/>
    <w:basedOn w:val="17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  <w:lang w:eastAsia="en-US"/>
    </w:rPr>
  </w:style>
  <w:style w:type="character" w:customStyle="1" w:styleId="31">
    <w:name w:val="日期 字符"/>
    <w:basedOn w:val="17"/>
    <w:link w:val="9"/>
    <w:semiHidden/>
    <w:qFormat/>
    <w:uiPriority w:val="99"/>
    <w:rPr>
      <w:kern w:val="2"/>
      <w:sz w:val="21"/>
      <w:szCs w:val="22"/>
    </w:rPr>
  </w:style>
  <w:style w:type="paragraph" w:customStyle="1" w:styleId="3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正文文本 字符"/>
    <w:basedOn w:val="17"/>
    <w:link w:val="8"/>
    <w:qFormat/>
    <w:uiPriority w:val="1"/>
    <w:rPr>
      <w:rFonts w:ascii="仿宋" w:hAnsi="仿宋" w:eastAsia="仿宋" w:cs="仿宋"/>
      <w:sz w:val="32"/>
      <w:szCs w:val="32"/>
      <w:lang w:eastAsia="en-US"/>
    </w:rPr>
  </w:style>
  <w:style w:type="character" w:customStyle="1" w:styleId="34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批注框文本 字符"/>
    <w:basedOn w:val="17"/>
    <w:link w:val="10"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table" w:customStyle="1" w:styleId="36">
    <w:name w:val="Table Normal1"/>
    <w:semiHidden/>
    <w:unhideWhenUsed/>
    <w:qFormat/>
    <w:uiPriority w:val="2"/>
    <w:rPr>
      <w:rFonts w:ascii="Times New Roman" w:hAnsi="Times New Roman" w:eastAsia="宋体" w:cs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B7367-FEF3-4879-BB0C-021FA191A4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5020</Words>
  <Characters>5171</Characters>
  <Lines>517</Lines>
  <Paragraphs>391</Paragraphs>
  <TotalTime>1</TotalTime>
  <ScaleCrop>false</ScaleCrop>
  <LinksUpToDate>false</LinksUpToDate>
  <CharactersWithSpaces>9800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2025-11-11T02:12:00Z</dcterms:created>
  <dc:creator>玛依努尔</dc:creator>
  <cp:lastModifiedBy>Administrator</cp:lastModifiedBy>
  <cp:lastPrinted>2025-10-14T07:36:00Z</cp:lastPrinted>
  <dcterms:modified xsi:type="dcterms:W3CDTF">2025-12-26T03:19:00Z</dcterms:modified>
  <dc:title>新疆维吾尔自治区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2024-03-20T00:00:00Z</vt:filetime>
  </property>
  <property fmtid="{D5CDD505-2E9C-101B-9397-08002B2CF9AE}" pid="5" name="KSOProductBuildVer">
    <vt:lpwstr>2052-11.8.2.8696</vt:lpwstr>
  </property>
  <property fmtid="{D5CDD505-2E9C-101B-9397-08002B2CF9AE}" pid="6" name="ICV">
    <vt:lpwstr>6B52A0DB0C05457C8452FED02E592246_13</vt:lpwstr>
  </property>
  <property fmtid="{D5CDD505-2E9C-101B-9397-08002B2CF9AE}" pid="7" name="KSOTemplateDocerSaveRecord">
    <vt:lpwstr>eyJoZGlkIjoiMTI2MDI0NTdiNDVmMzY2Yzg1NTYxN2RkMGE3YTY4YjgiLCJ1c2VySWQiOiIyMDU0NDUxNjUifQ==</vt:lpwstr>
  </property>
</Properties>
</file>