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7D78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9983C99">
      <w:pPr>
        <w:spacing w:line="540" w:lineRule="exact"/>
        <w:jc w:val="center"/>
        <w:rPr>
          <w:rFonts w:ascii="华文中宋" w:hAnsi="华文中宋" w:eastAsia="华文中宋" w:cs="宋体"/>
          <w:b/>
          <w:kern w:val="0"/>
          <w:sz w:val="52"/>
          <w:szCs w:val="52"/>
        </w:rPr>
      </w:pPr>
    </w:p>
    <w:p w14:paraId="22A208A5">
      <w:pPr>
        <w:spacing w:line="540" w:lineRule="exact"/>
        <w:jc w:val="center"/>
        <w:rPr>
          <w:rFonts w:ascii="华文中宋" w:hAnsi="华文中宋" w:eastAsia="华文中宋" w:cs="宋体"/>
          <w:b/>
          <w:kern w:val="0"/>
          <w:sz w:val="52"/>
          <w:szCs w:val="52"/>
        </w:rPr>
      </w:pPr>
    </w:p>
    <w:p w14:paraId="2A9B8280">
      <w:pPr>
        <w:spacing w:line="540" w:lineRule="exact"/>
        <w:jc w:val="center"/>
        <w:rPr>
          <w:rFonts w:ascii="华文中宋" w:hAnsi="华文中宋" w:eastAsia="华文中宋" w:cs="宋体"/>
          <w:b/>
          <w:kern w:val="0"/>
          <w:sz w:val="52"/>
          <w:szCs w:val="52"/>
        </w:rPr>
      </w:pPr>
    </w:p>
    <w:p w14:paraId="288FD6FC">
      <w:pPr>
        <w:spacing w:line="540" w:lineRule="exact"/>
        <w:jc w:val="center"/>
        <w:rPr>
          <w:rFonts w:ascii="华文中宋" w:hAnsi="华文中宋" w:eastAsia="华文中宋" w:cs="宋体"/>
          <w:b/>
          <w:kern w:val="0"/>
          <w:sz w:val="52"/>
          <w:szCs w:val="52"/>
        </w:rPr>
      </w:pPr>
    </w:p>
    <w:p w14:paraId="5EEED894">
      <w:pPr>
        <w:spacing w:line="540" w:lineRule="exact"/>
        <w:jc w:val="center"/>
        <w:rPr>
          <w:rFonts w:ascii="华文中宋" w:hAnsi="华文中宋" w:eastAsia="华文中宋" w:cs="宋体"/>
          <w:b/>
          <w:kern w:val="0"/>
          <w:sz w:val="52"/>
          <w:szCs w:val="52"/>
        </w:rPr>
      </w:pPr>
    </w:p>
    <w:p w14:paraId="2C395828">
      <w:pPr>
        <w:spacing w:line="540" w:lineRule="exact"/>
        <w:jc w:val="center"/>
        <w:rPr>
          <w:rFonts w:ascii="华文中宋" w:hAnsi="华文中宋" w:eastAsia="华文中宋" w:cs="宋体"/>
          <w:b/>
          <w:kern w:val="0"/>
          <w:sz w:val="52"/>
          <w:szCs w:val="52"/>
        </w:rPr>
      </w:pPr>
    </w:p>
    <w:p w14:paraId="4522D9F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FF83369">
      <w:pPr>
        <w:spacing w:line="540" w:lineRule="exact"/>
        <w:jc w:val="center"/>
        <w:rPr>
          <w:rFonts w:ascii="华文中宋" w:hAnsi="华文中宋" w:eastAsia="华文中宋" w:cs="宋体"/>
          <w:b/>
          <w:kern w:val="0"/>
          <w:sz w:val="52"/>
          <w:szCs w:val="52"/>
        </w:rPr>
      </w:pPr>
      <w:bookmarkStart w:id="0" w:name="_GoBack"/>
      <w:bookmarkEnd w:id="0"/>
    </w:p>
    <w:p w14:paraId="4CFE26A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10056EE0">
      <w:pPr>
        <w:spacing w:line="540" w:lineRule="exact"/>
        <w:jc w:val="center"/>
        <w:rPr>
          <w:rFonts w:hAnsi="宋体" w:eastAsia="仿宋_GB2312" w:cs="宋体"/>
          <w:kern w:val="0"/>
          <w:sz w:val="30"/>
          <w:szCs w:val="30"/>
        </w:rPr>
      </w:pPr>
    </w:p>
    <w:p w14:paraId="4C7F089B">
      <w:pPr>
        <w:spacing w:line="540" w:lineRule="exact"/>
        <w:jc w:val="center"/>
        <w:rPr>
          <w:rFonts w:hAnsi="宋体" w:eastAsia="仿宋_GB2312" w:cs="宋体"/>
          <w:kern w:val="0"/>
          <w:sz w:val="30"/>
          <w:szCs w:val="30"/>
        </w:rPr>
      </w:pPr>
    </w:p>
    <w:p w14:paraId="15B428FF">
      <w:pPr>
        <w:spacing w:line="540" w:lineRule="exact"/>
        <w:jc w:val="center"/>
        <w:rPr>
          <w:rFonts w:hAnsi="宋体" w:eastAsia="仿宋_GB2312" w:cs="宋体"/>
          <w:kern w:val="0"/>
          <w:sz w:val="30"/>
          <w:szCs w:val="30"/>
        </w:rPr>
      </w:pPr>
    </w:p>
    <w:p w14:paraId="25CA2929">
      <w:pPr>
        <w:spacing w:line="540" w:lineRule="exact"/>
        <w:jc w:val="center"/>
        <w:rPr>
          <w:rFonts w:hAnsi="宋体" w:eastAsia="仿宋_GB2312" w:cs="宋体"/>
          <w:kern w:val="0"/>
          <w:sz w:val="30"/>
          <w:szCs w:val="30"/>
        </w:rPr>
      </w:pPr>
    </w:p>
    <w:p w14:paraId="30E40B23">
      <w:pPr>
        <w:spacing w:line="540" w:lineRule="exact"/>
        <w:jc w:val="center"/>
        <w:rPr>
          <w:rFonts w:hAnsi="宋体" w:eastAsia="仿宋_GB2312" w:cs="宋体"/>
          <w:kern w:val="0"/>
          <w:sz w:val="30"/>
          <w:szCs w:val="30"/>
        </w:rPr>
      </w:pPr>
    </w:p>
    <w:p w14:paraId="3058BF2F">
      <w:pPr>
        <w:spacing w:line="540" w:lineRule="exact"/>
        <w:jc w:val="center"/>
        <w:rPr>
          <w:rFonts w:hAnsi="宋体" w:eastAsia="仿宋_GB2312" w:cs="宋体"/>
          <w:kern w:val="0"/>
          <w:sz w:val="30"/>
          <w:szCs w:val="30"/>
        </w:rPr>
      </w:pPr>
    </w:p>
    <w:p w14:paraId="4BA1A38C">
      <w:pPr>
        <w:spacing w:line="540" w:lineRule="exact"/>
        <w:rPr>
          <w:rFonts w:hAnsi="宋体" w:eastAsia="仿宋_GB2312" w:cs="宋体"/>
          <w:kern w:val="0"/>
          <w:sz w:val="30"/>
          <w:szCs w:val="30"/>
        </w:rPr>
      </w:pPr>
    </w:p>
    <w:p w14:paraId="2518CFC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03B513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困难群众补助救助资金项目</w:t>
      </w:r>
    </w:p>
    <w:p w14:paraId="25A02C9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吉木萨尔县民政局</w:t>
      </w:r>
    </w:p>
    <w:p w14:paraId="5B12AA8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吉木萨尔县民政局</w:t>
      </w:r>
    </w:p>
    <w:p w14:paraId="7C55B35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钮鸿林</w:t>
      </w:r>
    </w:p>
    <w:p w14:paraId="0E02050F">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2024年04月02日</w:t>
      </w:r>
    </w:p>
    <w:p w14:paraId="00F752CB">
      <w:pPr>
        <w:spacing w:line="700" w:lineRule="exact"/>
        <w:ind w:firstLine="708" w:firstLineChars="236"/>
        <w:jc w:val="left"/>
        <w:rPr>
          <w:rFonts w:hAnsi="宋体" w:eastAsia="仿宋_GB2312" w:cs="宋体"/>
          <w:kern w:val="0"/>
          <w:sz w:val="30"/>
          <w:szCs w:val="30"/>
        </w:rPr>
      </w:pPr>
    </w:p>
    <w:p w14:paraId="5EAA0614">
      <w:pPr>
        <w:spacing w:line="540" w:lineRule="exact"/>
        <w:rPr>
          <w:rStyle w:val="18"/>
          <w:rFonts w:ascii="黑体" w:hAnsi="黑体" w:eastAsia="黑体"/>
          <w:b w:val="0"/>
          <w:spacing w:val="-4"/>
          <w:sz w:val="32"/>
          <w:szCs w:val="32"/>
        </w:rPr>
      </w:pPr>
    </w:p>
    <w:p w14:paraId="48E54CA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EF32AE0">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BC3218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关于进一步做好最低生活保障等社会救助兜底保障工作的通知》（昌州民字〔2023〕1号）、关于印发《吉木萨尔县关于全面开展低收入人口摸底排查工作的实施方案》的通知（吉民发〔2023〕32号）等文件要求， 规范城乡低保政策实施，合理确定保障标准，使困难群众基本生活得到有效保障；统筹城乡特困人员救助供养工作，合理确定保障标准；规范实施临时救助政策，实现及时高效、救急解难；为生活无着流浪乞讨人员提供临时食宿、疾病救治、协助返回等救助，并妥善安置返乡受助人员；对流浪未成年人提供特殊优先保护及教育等专业服务，确保其健康成长；对农村留守儿童、困境儿童等存在流浪风险的未成年人以及流浪乞讨儿童开展家庭监护评估、监护支持、精神关爱等工作，为其提供临时照料、医疗救治、心理疏导、行为矫治、社会融入、家庭关系调试、法律援助等专业服务，从源头上预防未成年人外出流浪；引导地方提高孤儿生活保障水平，孤儿生活保障政策规范高效实施，使孤儿、艾滋病病毒感染儿童和事实无人抚养儿童生活基本得到保障。积极为走失、务工不着、家庭暴力受害者等离家在外的临时遇困人员提供救助。确保我县困难群众基本生活有保障，应救尽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（1）项目名称：困难群众补助救助资金项目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对我县城乡低保户发放1至12月份的城乡低保金、有必要时发放一次性生活补贴、临时价格补贴；对特困供养对象落实1-12月份的特困供养救助政策发放生活费、护理费、医疗费、丧葬费等；为孤儿（事实无人抚养儿童、艾滋病儿童）发放1-12月份生活补贴；对生活临时陷入困境的困难家庭落实临时救助；对生活无着的流浪乞讨人员落实救助包括住宿、饮食、返乡，送医、返乡救助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实施主体：吉木萨尔县民政局。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实施时间：本项目实施周期为2023年1月1日-2023年12月31日。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困难群众救助补助资金统筹用于低保、特困人员救助供养、临时救助、流浪乞讨人员救助、孤儿基本生活保障支出。适度扩大城乡低保范围，进一步提高城乡低保对象基本生活水平，确保特困对象基本生活有所保障，继续扩大临时救助范围，救助生活无着流浪乞讨人员，提高孤儿生活水平，进一步提高困难群众基本生活救助工作管理服务水平。截止2023年12月，我县享受城乡低保1091户1974人，享受特困供养人员320人，享受临时救助555人次，救助孤儿8名，事实无人抚养儿童2人，救助流浪乞讨人员3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全县社会救助政策落实，统筹社会救助体系建设，负责城乡居民最低生活保障、特困人员救助供养、临时救助、生活无着落流浪乞讨人员救助工作，承担全县社会救助的日常工作；督促指导全县的养老服务工作。负责拟定全县养老服务体系建设规划、政策、标准并组织实施；承担老年人福利和特殊困难老年人救助工作；贯彻落实国家婚姻管理政策、殡葬管理政策及服务规范，负责推进婚俗、殡葬改革，指导婚姻、殡葬服务机构管理工作；贯彻落实全县儿童福利、孤弃儿童保障、儿童收养、儿童救助保护政策、标准。健全农村留守儿童关爱服务体系和困境儿童保障制度；贯彻落实全县城乡基层群众自治建设和社区建设的政策，指导城乡社区建设和服务管理工作，提出加强和改进城乡基层政权建设的建议，推动基层民主政治建设；贯彻执行行政区划管理政策和行政区域界线、地名管理办法；负责研究、制定和报告县人民政府审批的村以上行政区划的设立、撤销、调整、更名和界线变更及乡镇以上人民政府驻地迁移审核工作；组织、指导全县行政区域界线的勘定和管理工作，负责全县地名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民政局现有6个内设科室:即行政办公室、社会救助办公室（发放城乡低保、五保老人供养金、孤儿生活费、临时救助、流浪乞讨救助、残疾人两项补贴、高龄老人生活津贴等）、基层政权办公室、社会事务办公室、婚姻登记办公室、行政区划地名办公室、党建办公室，下属1个单位社会福利管理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本项目预算资金总额为1354万元，资金来源为中央困难群众救助补助资金。其中：财政资金为1354万元，其他资金为0万元。2023年实际收到预算资金1354万元，预算资金到位率为100%。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出1240.48万元，预算执行率91.62%，结余资金113.52万元。项目资金主要用于支付城乡低保金845.80万元、特困供养救助315.93万元、临时救助70.12万元、孤儿生活费（包括事实无人抚养儿童、艾滋病儿童）4.69万元、流浪乞讨救助3.94万元。</w:t>
      </w:r>
    </w:p>
    <w:p w14:paraId="7B23FE2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7E2013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城乡低保政策实施，合理确定保障标准，使低保对象基本生活得到有效保障；统筹城乡特困人员救助供养工作，合理确定保障标准；规范实施临时救助政策，实现及时高效、救急解难；为生活无着流浪乞讨人员提供临时食宿、疾病救治、协助返回等救助，并妥善安置返乡受助人员；对流浪未成年人提供特殊优先保护及教育等专业服务，确保其健康成长；对农村留守儿童、困境儿童等存在流浪风险的未成年人以及流浪乞讨儿童开展家庭监护评估、监护支持、精神关爱等工作，为其提供临时照料、医疗救治、心理疏导、行为矫治、社会融入、家庭关系调试、法律援助等专业服务，从源头上预防未成年人外出流浪；引导地方提高孤儿生活保障水平，孤儿生活保障政策规范高效实施，使孤儿、艾滋病病毒感染儿童和事实无人抚养儿童生活基本得到保障。积极为走失、务工不着、家庭暴力受害者等离家在外的临时遇困人员提供救助。确保我县困难群众基本生活有保障，应救尽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“城乡居民低保保障率”指标，预期指标值为“100%”；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“特困供养保障率”指标，预期指标值为“100%”；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“求救的流浪乞讨人员救助率”预期指标值为“95%”；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“孤儿、艾滋病病毒感染儿童、生活困难家庭中和纳入特困人员救助供养范围的事实无人抚养儿童救助率”预期指标值为“90%”；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“患病孤残儿童救助率”预期指标值为“90%”；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“城乡低保标准”指标，预期指标值为“稳步提高”；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“城乡特困人员救助供养保准”指标，预期指标值为“不低于上年”；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“临时救助水平”指标，预期指标值为“不低于上年”；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“孤儿、艾滋病感染儿童、事实无人抚养儿童认定准确率”指标，预期指标值为“90%”；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“困难群众基本生活救助和孤儿基本生活费按时发放率”指标，预期指标值为“90%”；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“流浪乞讨人员救助要求当天登记救助率”指标，预期指标值为“90%”；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“低保资金社会化发放率”指标，预期指标值为“90%”；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“流浪乞讨人员救助执行当地支出标准”指标，预期指标值为“90%”；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“困难群众生活水平情况”指标，预期指标值为“有所提升”；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“帮助查明身份滞留流浪乞讨人员返乡情况”指标，预期指标值为“及时返送”；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“为走失、务工不着，家庭暴力受害者等离家在外的临时遇困人员提供帮助服务率”指标，预期指标值为“95%”；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“政策知晓率”指标，预期指标值为“85%”。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“救助对象对社会救助实施的满意度”指标，预期指标值为“90%”。</w:t>
      </w:r>
    </w:p>
    <w:p w14:paraId="438E299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400D37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0EE78F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此次我单位根据《财政支出绩效评价管理暂行办法》（财预〔2020〕10号）文件要求对2023年度我单位实施的困难群众救助补助资金项目开展部门绩效评价，评价核心内容为项目资金、项目产出、项目效益。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（12）《关于提前下达2023年中央财政困难群众救助补助资金预算的通知》（昌州财社〔2022〕38号）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（13）《关于下达2023年第二批中央财政困难群众救助补助资金的通知》（昌州财社〔2023〕16号）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（14）《关于下达2023年第二批中央财政困难群众救助补助资金的通知》（昌州财社〔2023〕16号）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（15）《关于下达2023年中央财政困难群众救助补助资金的通知》（昌州财社〔2023〕44号）</w:t>
      </w:r>
    </w:p>
    <w:p w14:paraId="5A5B38B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DBDE09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对项目进行评价，旨在通过综合分析影响绩效目标实现、实施效果的内外部因素，从而评价本项目绩效。三级指标分析环节：总体采用比较法，同时辅以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E01E2E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8B5CC0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傅建华（评价小组组长）：主要负责项目策划和监督，全面负责项目绩效评价办稿的最终质量，对评估人员出具的最终报告质量进行复核，确保评估结果的客观性；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陈姿含、常娥、张莹莹、热美拉（评价小组组员）：主要负责资料的收集，取证、数据统计分析；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萨吉达、张仕颖（评价小组组员）：主要负责主要负责项目报告的制定，指标的研判，数据分析及报告撰写。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2024年3月7日-3月18日，评价工作进入实施阶段。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经调研了解，该项目主要受益群体包括困难群众。我们根据绩效评价目标和绩效指标体系，设计满意度调查问卷进行问卷调查，其中2294受益对象共选取样本603人，共发放问卷610份，最终收回603份。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2024年3月18日-3月20日，评价小组按照绩效评价的原则和规范，对取得的资料进行审查核实，对采集的数据进行分析，按照绩效评价指标评分表逐项进行打分、分析、汇总各方评价结果。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2024年3月20日-3月31日，评价小组撰写绩效评价报告，按照新疆维吾尔自治区财政绩效管理信息系统绩效评价模块中统一格式和文本框架撰写绩效评价报告并提交审核。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B75937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D91070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经评价，本项目较大程度达成年初设立的绩效目标，2023年困难群众救助补助资金项目总体组织规范，完成了2023年困难群众救助补助资金项目的工作目标，在实施过程中取得了良好的成效，具体表现在以下方面：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在项目决策方面：严格按照《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等文件要求，规范困难群众救助政策实施，合理确定保障标准，使困难群众基本生活得到有效保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管理方面：严格按照预算法及其实施条例、转移支付管理制度规定以及资金管理办法规定的时限要求分解下达；严格按照国库中支付制度有关规定支付资金，未出现违规将资金从国库转入财政专户或支付到预算单位实有资金账户等问题，严格按照下达预算的科目和项目执行，未出现截留、挤占、挪用或自调整等问题按照上级下达和本级预算安排的金额执行，不存在执行数偏离预算数较多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方面：本项目实际支出1240.48万元，预算执行率91.62%，结余资金113.52万元。项目资金主要用于支付城乡低保金845.80万元、特困供养救助315.93万元、临时救助70.12万元、孤儿生活费（包括事实无人抚养儿童、艾滋病儿童）4.69万元、流浪乞讨救助3.94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29个，实现三级指标数量29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项目产出类指标共设置13个，满分指标13个，得分率100%；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项目效益类指标共设置5个，满分指标5个，得分率100%。</w:t>
      </w:r>
    </w:p>
    <w:p w14:paraId="48233E6A">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6A1649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8FC7DC5">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项目决策类指标由3个二级指标和6个三级指标构成，权重分21.0分，实际得分21.0分。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符合《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等相关政策。项目立项与吉木萨尔县民政局单位“开展困难群众救助工作”这一部门职责范围相符，属于部门履职所需；根据《财政资金直接支付申请书》，本项目资金性质为“中央直达资金和自治区资金”，功能分类为“社会保障和就业”，经济分类为“用于低保、特困供养人员救助供养、临时救助、流浪乞讨人员救助（含农村留守儿童、困境儿童、流浪乞讨儿童的应急处置、救助帮扶、监护支持、精神关爱等</w:t>
      </w:r>
      <w:r>
        <w:rPr>
          <w:rStyle w:val="18"/>
          <w:rFonts w:hint="eastAsia" w:ascii="楷体" w:hAnsi="楷体" w:eastAsia="楷体"/>
          <w:b w:val="0"/>
          <w:bCs w:val="0"/>
          <w:spacing w:val="-4"/>
          <w:sz w:val="32"/>
          <w:szCs w:val="32"/>
          <w:lang w:eastAsia="zh-CN"/>
        </w:rPr>
        <w:t>未成年人保护</w:t>
      </w:r>
      <w:r>
        <w:rPr>
          <w:rStyle w:val="18"/>
          <w:rFonts w:hint="eastAsia" w:ascii="楷体" w:hAnsi="楷体" w:eastAsia="楷体"/>
          <w:b w:val="0"/>
          <w:bCs w:val="0"/>
          <w:spacing w:val="-4"/>
          <w:sz w:val="32"/>
          <w:szCs w:val="32"/>
        </w:rPr>
        <w:t>支出）、孤儿基本生活保障支出”，根据《中华人民共和国预算法》属于公共财政支持范围，符合中央、地方事权支出责任划分原则，经检查财政项目指标大平台，本项目不存在重复。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按照规定的《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的文件要求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1.规范城乡低保政策实施，合理确定保障标准，使低保对象基本生活得到有效保障。2.统筹城乡特困人员救助供养工作，合理确定保障标准。3.规范实施临时救助政策，实现及时高效、救急解难。4.为生活无着流浪乞讨人员提供临时食宿、疾病救治、协助返回等救助，并妥善安置返乡受助人员。5.对流浪未成年人提供特殊优先保护及教育等专业服务，确保其健康成长。6.对农村留守儿童、困境儿童等存在流浪风险的未成年人以及流浪乞讨儿童开展家庭监护评估、监护支持、精神关爱等工作，为其提供临时照料、医疗救治、心理疏导、行为矫治、社会融入、家庭关系调试、法律援助等专业服务，从源头上预防未成年人外出流浪。7.引导地方提高孤儿生活保障水平，孤儿生活保障政策规范高效实施，使孤儿、艾滋病病毒感染儿童和事实无人抚养儿童生活基本得到保障。8.积极为走失、务工不着、家庭暴力受害者等离家在外的临时遇困人员提供救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1.合理确定了低保标准，城市低保标准700元/月/人、农村低保标准8400元/年/人，使低保对象基本生活得到有效保障。2.合理确定了特困人员供养标准。城乡集中供养标准1035元/月/人，分散供养特困标准800元/月/人。3.全年临时救助555人次，规范实施临时救助政策，推进实现了及时高效、救急解难，使临时遇困人员得到及时救助。4.全年累计为8名生活无着流浪乞讨人员得到了临时食宿、疾病救治、协助返回等救助。 5.通过政府购买社会组织服务，督促乡镇督导员、村社区儿童主任对农村留守儿童、困境儿童等开展家庭监护支持、关心关爱等工作，从源头上预防未成年人外出流浪。6.集中养育标准1610元/月/人、分散养育标准1150元/月/人，孤儿生活保障政策规范高效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城乡低保、特困供养对象保障率，流浪乞讨人员、孤儿、艾滋病病毒感染、孤残儿童救助率，城乡低保、特困人员救助供养标准、临时救助水平稳步提高，困难群众基本生活救助和孤儿基本生活费按时社会化发放，困难群众生活水平有所提高，流浪乞讨人员求助当天登记，并且执行我县支出标准，帮助查明滞留流浪乞讨人员返乡，为走失，务工不着，家庭暴力受害者等离家在外的临时遇困人员提高救助服务，不断进行社会救助宣讲群众的政策知晓率不断提高，救助对象对社会救助实施的满意度持续提升，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④该项目批复的预算金额为1354万元，《项目支出绩效目标表》中预算金额为1354万元，预算确定的项目资金与预算确定的项目投资额相匹配。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18个，定量指标13个，定性指标5个，指标量化率为72.2%，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城乡居民低保保障率”指标，“特困供养保障率”指标，“求救的流浪乞讨人员救助率”，“孤儿、艾滋病病毒感染儿童、生活困难家庭中和纳入特困人员救助供养范围的事实无人抚养儿童救助率”、“患病孤残儿童救助率”，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文件标准，根据实际发放人员数量编制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本项目预算申请内容为1354万元，项目资金主要用于支付低保、特困供养人员救助供养、临时救助、流浪乞讨人员救助（含农村留守儿童、困境儿童、流浪乞讨儿童的应急处置、救助帮扶、监护支持、精神关爱等</w:t>
      </w:r>
      <w:r>
        <w:rPr>
          <w:rStyle w:val="18"/>
          <w:rFonts w:hint="eastAsia" w:ascii="楷体" w:hAnsi="楷体" w:eastAsia="楷体"/>
          <w:b w:val="0"/>
          <w:bCs w:val="0"/>
          <w:spacing w:val="-4"/>
          <w:sz w:val="32"/>
          <w:szCs w:val="32"/>
          <w:lang w:eastAsia="zh-CN"/>
        </w:rPr>
        <w:t>未成年人保护</w:t>
      </w:r>
      <w:r>
        <w:rPr>
          <w:rStyle w:val="18"/>
          <w:rFonts w:hint="eastAsia" w:ascii="楷体" w:hAnsi="楷体" w:eastAsia="楷体"/>
          <w:b w:val="0"/>
          <w:bCs w:val="0"/>
          <w:spacing w:val="-4"/>
          <w:sz w:val="32"/>
          <w:szCs w:val="32"/>
        </w:rPr>
        <w:t>支出）、孤儿基本生活保障资金，预算申请与《困难群众救助补助资金项目实施方案》中涉及的项目内容匹配。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1354万元，我单位在预算申请中严格按照项目实施内容及测算标准进行核算，其中：城乡低保金845.80万元、特困供养救助315.93万元、临时救助70.12万元、孤儿生活费（包括事实无人抚养儿童、艾滋病儿童）4.69万元、流浪乞讨救助3.94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文件显示，本项目实际到位资金1354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7E784746">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3FF0C2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本项目预算资金为1354万元，实际到位资金1354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2023年12月底，本项目实际支出资金1240.48万元，预算执行率91.62%。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本项目合同、财务支出凭证等资料，本项目资金使用符合国家财经法规、《政府会计制度》以及《吉木萨尔县民政局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综上所述，本指标满分为5.0分，根据评分标准得5分，本项目资金支出合规。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吉木萨尔县民政局建设资金管理办法》、《关于进一步做好最低生活保障等社会救助兜底保障工作的通知》（昌州民字〔2023〕1号）、关于印发《吉木萨尔县关于全面开展低收入人口摸底排查工作的实施方案》的通知（吉民发〔2023〕32号），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等相关法律法规及管理规定，项目具备完整规范的立项程序；经查证项目实施过程资料，项目按照下达的困难群众补助救助预算资金文件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③该项目不存在调整。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困难群众救助补助资金项目工作领导小组，由傅建华任组长，负责项目的组织工作；钮鸿林任副组长，负责项目的实施工作；组员包括：陈姿含、萨吉达、孙燕、王丽娟，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456AA27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2436CC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项目产出类指标由3个二级指标和13个三级指标构成，权重分30.0分，实际得分30分。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“城乡居民低保保障率”指标，预期指标值为“100%”，实际完成指标值为“100%”，指标完成率为100.0%；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“特困供养保障率”指标，预期指标值为“100%”，实际完成指标值为“100%”，指标完成率为100.0%；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“求救的流浪乞讨人员救助率”预期指标值为“95%”，实际完成指标值为“95%”，指标完成率为100.0%；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“孤儿、艾滋病病毒感染儿童、生活困难家庭中和纳入特困人员救助供养范围的事实无人抚养儿童救助率”预期指标值为“90%”，实际完成指标值为“90%”，指标完成率为100.0%；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“患病孤残儿童救助率”预期指标值为“90%”，实际完成指标值为“90%”，指标完成率为100.0%；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综上所述，本指标满分为9分，根据评分标准得9分。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“城乡低保标准”指标，预期指标值为“稳步提高”，实际完成指标值为“基本达成目标”，指标完成率为100.0%；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“城乡特困人员救助供养保准”指标，预期指标值为“不低于上年”，实际完成指标值为“基本达成目标”，指标完成率为100.0%；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“临时救助水平”指标，预期指标值为“不低于上年”，实际完成指标值为“基本达成目标”，指标完成率为100.0%；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“孤儿、艾滋病感染儿童、事实无人抚养儿童认定准确率”指标，预期指标值为“90%”，实际完成指标值为“90%”，指标完成率为100.0%；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综上所述，本指标满分为8分，根据评分标准得8分。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“困难群众基本生活救助和孤儿基本生活费按时发放率”指标，预期指标值为“90%”，实际完成指标值为“90%”，指标完成率为100.0%；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“流浪乞讨人员救助要求当天登记救助率”指标，预期指标值为“90%”，实际完成指标值为“90%”，指标完成率为100.0%；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“低保资金社会化发放率”指标，预期指标值为“90%”，实际完成指标值为“90%”，指标完成率为100.0%；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“流浪乞讨人员救助执行当地支出标准”指标，预期指标值为“90%”，实际完成指标值为“90%”，指标完成率为100.0%；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7C674FF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333D25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项目效益类指标由2个二级指标和5个三级指标构成，权重分30.0分，实际得分30分。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“困难群众生活水平情况”指标，预期指标值为“有所提升”，实际完成指标值为“基本达成目标”，指标完成率为100.0%；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“帮助查明身份滞留流浪乞讨人员返乡情况”指标，预期指标值为“及时返送”，实际完成指标值为“基本达成目标”，指标完成率为100.0%；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“为走失、务工不着，家庭暴力受害者等离家在外的临时遇困人员提供帮助服务率”指标，预期指标值为“95%”，实际完成指标值为“95%”，指标完成率为100.0%；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“政策知晓率”指标，预期指标值为“85%”，实际完成指标值为“85%”，指标完成率为100.0%。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“救助对象对社会救助实施的满意度”指标，预期指标值为“90%”，实际完成指标值为“90%”，指标完成率为100.0%。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6F1E415A">
      <w:pPr>
        <w:spacing w:line="540" w:lineRule="exact"/>
        <w:ind w:firstLine="567"/>
        <w:rPr>
          <w:rStyle w:val="18"/>
          <w:rFonts w:ascii="楷体" w:hAnsi="楷体" w:eastAsia="楷体"/>
          <w:spacing w:val="-4"/>
          <w:sz w:val="32"/>
          <w:szCs w:val="32"/>
        </w:rPr>
      </w:pPr>
    </w:p>
    <w:p w14:paraId="0B95E938">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0B0CB506">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本项目年初预算资金总额为1354万元，全年预算数为1354万元，全年执行数为1240.48万元，预算执行率为91.62%。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本项目共设置三级指标数量29个，满分指标数量29个，扣分指标数量0个，经分析计算所有三级指标完成率得出，本项目总体完成率为100%。</w:t>
      </w:r>
    </w:p>
    <w:p w14:paraId="557E51E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458DCCF">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县不断完善“8+1+N”多层次梯度式社会救助体系，推动社会救助制度由分散的单项救助转变为综合的救助体系，使得民生兜底保障安全网更加密实牢靠。不断完善政策措施、健全工作机制、强化责任落实，提升兜底保障覆盖的“广度”和“温度”，让“及时雨”更及时、“雪中炭”更暖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存在问题：2023年困难群众救助补助资金上级下达1343万元（1138万、215万、1万），2022年滚动结余资金62.21万元，2023年困难群众救助补助资金共1240.48万元，结余113.52万元，拨付资金未支付完。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原因分析：一是2022年末提前支出2023年1-2月城乡低保、第一季度特困对象、孤儿生活补贴资金；二是2023年上级下达三笔资金，且资金幅度大幅上调；三是我县低保人数还需扩围增效，提高低保占户籍人口比例。</w:t>
      </w:r>
    </w:p>
    <w:p w14:paraId="7DAD7FD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2410DEE8">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新一年度执行本项目时，按照计划执行，争取将拨付的资金全部支付完，工作落实完。</w:t>
      </w:r>
    </w:p>
    <w:p w14:paraId="1D2082E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0EA20B1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（五）困难群众补助救助资金管理，专帐核算，没有挤占挪用情况。</w:t>
      </w:r>
    </w:p>
    <w:p w14:paraId="344D11F4">
      <w:pPr>
        <w:spacing w:line="540" w:lineRule="exact"/>
        <w:ind w:firstLine="567"/>
        <w:rPr>
          <w:rStyle w:val="18"/>
          <w:rFonts w:ascii="仿宋" w:hAnsi="仿宋" w:eastAsia="仿宋"/>
          <w:b w:val="0"/>
          <w:spacing w:val="-4"/>
          <w:sz w:val="32"/>
          <w:szCs w:val="32"/>
        </w:rPr>
      </w:pPr>
    </w:p>
    <w:p w14:paraId="334AF5C8">
      <w:pPr>
        <w:spacing w:line="540" w:lineRule="exact"/>
        <w:ind w:firstLine="567"/>
        <w:rPr>
          <w:rStyle w:val="18"/>
          <w:rFonts w:ascii="仿宋" w:hAnsi="仿宋" w:eastAsia="仿宋"/>
          <w:b w:val="0"/>
          <w:spacing w:val="-4"/>
          <w:sz w:val="32"/>
          <w:szCs w:val="32"/>
        </w:rPr>
      </w:pPr>
    </w:p>
    <w:p w14:paraId="3A1A00F3">
      <w:pPr>
        <w:spacing w:line="540" w:lineRule="exact"/>
        <w:ind w:firstLine="567"/>
        <w:rPr>
          <w:rStyle w:val="18"/>
          <w:rFonts w:ascii="仿宋" w:hAnsi="仿宋" w:eastAsia="仿宋"/>
          <w:b w:val="0"/>
          <w:spacing w:val="-4"/>
          <w:sz w:val="32"/>
          <w:szCs w:val="32"/>
        </w:rPr>
      </w:pPr>
    </w:p>
    <w:p w14:paraId="3602AD32">
      <w:pPr>
        <w:spacing w:line="540" w:lineRule="exact"/>
        <w:ind w:firstLine="567"/>
        <w:rPr>
          <w:rStyle w:val="18"/>
          <w:rFonts w:ascii="仿宋" w:hAnsi="仿宋" w:eastAsia="仿宋"/>
          <w:b w:val="0"/>
          <w:spacing w:val="-4"/>
          <w:sz w:val="32"/>
          <w:szCs w:val="32"/>
        </w:rPr>
      </w:pPr>
    </w:p>
    <w:p w14:paraId="2A0D274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E18A567-160A-4F87-AD48-341E76BFFE5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93E5979-A59E-48B1-B5B6-DF85C7608D28}"/>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7C47C152-E1A8-44B9-87B0-ED1EBF275C2E}"/>
  </w:font>
  <w:font w:name="华文中宋">
    <w:panose1 w:val="02010600040101010101"/>
    <w:charset w:val="86"/>
    <w:family w:val="auto"/>
    <w:pitch w:val="default"/>
    <w:sig w:usb0="00000287" w:usb1="080F0000" w:usb2="00000000" w:usb3="00000000" w:csb0="0004009F" w:csb1="DFD70000"/>
    <w:embedRegular r:id="rId4" w:fontKey="{5029AF83-CA8D-4603-BA7B-5DDA0A00DAD4}"/>
  </w:font>
  <w:font w:name="方正小标宋_GBK">
    <w:panose1 w:val="02000000000000000000"/>
    <w:charset w:val="86"/>
    <w:family w:val="script"/>
    <w:pitch w:val="default"/>
    <w:sig w:usb0="A00002BF" w:usb1="38CF7CFA" w:usb2="00082016" w:usb3="00000000" w:csb0="00040001" w:csb1="00000000"/>
    <w:embedRegular r:id="rId5" w:fontKey="{864F22B6-5C11-4720-A165-6FEAC8E55529}"/>
  </w:font>
  <w:font w:name="仿宋_GB2312">
    <w:panose1 w:val="02010609030101010101"/>
    <w:charset w:val="86"/>
    <w:family w:val="modern"/>
    <w:pitch w:val="default"/>
    <w:sig w:usb0="00000001" w:usb1="080E0000" w:usb2="00000000" w:usb3="00000000" w:csb0="00040000" w:csb1="00000000"/>
    <w:embedRegular r:id="rId6" w:fontKey="{B0E329EE-5026-41CF-BF73-AF6EB0E36CE6}"/>
  </w:font>
  <w:font w:name="楷体">
    <w:panose1 w:val="02010609060101010101"/>
    <w:charset w:val="86"/>
    <w:family w:val="modern"/>
    <w:pitch w:val="default"/>
    <w:sig w:usb0="800002BF" w:usb1="38CF7CFA" w:usb2="00000016" w:usb3="00000000" w:csb0="00040001" w:csb1="00000000"/>
    <w:embedRegular r:id="rId7" w:fontKey="{DFB492B8-0272-4843-8633-A742C9ACBFC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057DDBD">
        <w:pPr>
          <w:pStyle w:val="12"/>
          <w:jc w:val="center"/>
        </w:pPr>
        <w:r>
          <w:fldChar w:fldCharType="begin"/>
        </w:r>
        <w:r>
          <w:instrText xml:space="preserve">PAGE   \* MERGEFORMAT</w:instrText>
        </w:r>
        <w:r>
          <w:fldChar w:fldCharType="separate"/>
        </w:r>
        <w:r>
          <w:rPr>
            <w:lang w:val="zh-CN"/>
          </w:rPr>
          <w:t>2</w:t>
        </w:r>
        <w:r>
          <w:fldChar w:fldCharType="end"/>
        </w:r>
      </w:p>
    </w:sdtContent>
  </w:sdt>
  <w:p w14:paraId="427D9FF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AD2437D"/>
    <w:rsid w:val="3029612C"/>
    <w:rsid w:val="32A221C5"/>
    <w:rsid w:val="33F20F2A"/>
    <w:rsid w:val="34C44675"/>
    <w:rsid w:val="3B5B5607"/>
    <w:rsid w:val="3CE21B3C"/>
    <w:rsid w:val="4053490D"/>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6644</Words>
  <Characters>6951</Characters>
  <Lines>4</Lines>
  <Paragraphs>1</Paragraphs>
  <TotalTime>2</TotalTime>
  <ScaleCrop>false</ScaleCrop>
  <LinksUpToDate>false</LinksUpToDate>
  <CharactersWithSpaces>6965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2025-10-16T04:45:52Z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