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D81A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2F5D688">
      <w:pPr>
        <w:spacing w:line="540" w:lineRule="exact"/>
        <w:jc w:val="center"/>
        <w:rPr>
          <w:rFonts w:ascii="华文中宋" w:hAnsi="华文中宋" w:eastAsia="华文中宋" w:cs="宋体"/>
          <w:b/>
          <w:kern w:val="0"/>
          <w:sz w:val="52"/>
          <w:szCs w:val="52"/>
        </w:rPr>
      </w:pPr>
    </w:p>
    <w:p w14:paraId="5E0DE9F8">
      <w:pPr>
        <w:spacing w:line="540" w:lineRule="exact"/>
        <w:jc w:val="center"/>
        <w:rPr>
          <w:rFonts w:ascii="华文中宋" w:hAnsi="华文中宋" w:eastAsia="华文中宋" w:cs="宋体"/>
          <w:b/>
          <w:kern w:val="0"/>
          <w:sz w:val="52"/>
          <w:szCs w:val="52"/>
        </w:rPr>
      </w:pPr>
    </w:p>
    <w:p w14:paraId="15B1D629">
      <w:pPr>
        <w:spacing w:line="540" w:lineRule="exact"/>
        <w:jc w:val="center"/>
        <w:rPr>
          <w:rFonts w:ascii="华文中宋" w:hAnsi="华文中宋" w:eastAsia="华文中宋" w:cs="宋体"/>
          <w:b/>
          <w:kern w:val="0"/>
          <w:sz w:val="52"/>
          <w:szCs w:val="52"/>
        </w:rPr>
      </w:pPr>
    </w:p>
    <w:p w14:paraId="4F433F2F">
      <w:pPr>
        <w:spacing w:line="540" w:lineRule="exact"/>
        <w:jc w:val="center"/>
        <w:rPr>
          <w:rFonts w:ascii="华文中宋" w:hAnsi="华文中宋" w:eastAsia="华文中宋" w:cs="宋体"/>
          <w:b/>
          <w:kern w:val="0"/>
          <w:sz w:val="52"/>
          <w:szCs w:val="52"/>
        </w:rPr>
      </w:pPr>
    </w:p>
    <w:p w14:paraId="26168CCB">
      <w:pPr>
        <w:spacing w:line="540" w:lineRule="exact"/>
        <w:jc w:val="center"/>
        <w:rPr>
          <w:rFonts w:ascii="华文中宋" w:hAnsi="华文中宋" w:eastAsia="华文中宋" w:cs="宋体"/>
          <w:b/>
          <w:kern w:val="0"/>
          <w:sz w:val="52"/>
          <w:szCs w:val="52"/>
        </w:rPr>
      </w:pPr>
    </w:p>
    <w:p w14:paraId="3453F5BE">
      <w:pPr>
        <w:spacing w:line="540" w:lineRule="exact"/>
        <w:jc w:val="center"/>
        <w:rPr>
          <w:rFonts w:ascii="华文中宋" w:hAnsi="华文中宋" w:eastAsia="华文中宋" w:cs="宋体"/>
          <w:b/>
          <w:kern w:val="0"/>
          <w:sz w:val="52"/>
          <w:szCs w:val="52"/>
        </w:rPr>
      </w:pPr>
    </w:p>
    <w:p w14:paraId="07BB659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4059E88">
      <w:pPr>
        <w:spacing w:line="540" w:lineRule="exact"/>
        <w:jc w:val="center"/>
        <w:rPr>
          <w:rFonts w:ascii="华文中宋" w:hAnsi="华文中宋" w:eastAsia="华文中宋" w:cs="宋体"/>
          <w:b/>
          <w:kern w:val="0"/>
          <w:sz w:val="52"/>
          <w:szCs w:val="52"/>
        </w:rPr>
      </w:pPr>
    </w:p>
    <w:p w14:paraId="26F1E56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bookmarkStart w:id="0" w:name="_GoBack"/>
      <w:bookmarkEnd w:id="0"/>
    </w:p>
    <w:p w14:paraId="49EB0AE7">
      <w:pPr>
        <w:spacing w:line="540" w:lineRule="exact"/>
        <w:jc w:val="center"/>
        <w:rPr>
          <w:rFonts w:hAnsi="宋体" w:eastAsia="仿宋_GB2312" w:cs="宋体"/>
          <w:kern w:val="0"/>
          <w:sz w:val="30"/>
          <w:szCs w:val="30"/>
        </w:rPr>
      </w:pPr>
    </w:p>
    <w:p w14:paraId="47CEEF17">
      <w:pPr>
        <w:spacing w:line="540" w:lineRule="exact"/>
        <w:jc w:val="center"/>
        <w:rPr>
          <w:rFonts w:hAnsi="宋体" w:eastAsia="仿宋_GB2312" w:cs="宋体"/>
          <w:kern w:val="0"/>
          <w:sz w:val="30"/>
          <w:szCs w:val="30"/>
        </w:rPr>
      </w:pPr>
    </w:p>
    <w:p w14:paraId="74D48A66">
      <w:pPr>
        <w:spacing w:line="540" w:lineRule="exact"/>
        <w:jc w:val="center"/>
        <w:rPr>
          <w:rFonts w:hAnsi="宋体" w:eastAsia="仿宋_GB2312" w:cs="宋体"/>
          <w:kern w:val="0"/>
          <w:sz w:val="30"/>
          <w:szCs w:val="30"/>
        </w:rPr>
      </w:pPr>
    </w:p>
    <w:p w14:paraId="648A4203">
      <w:pPr>
        <w:spacing w:line="540" w:lineRule="exact"/>
        <w:jc w:val="center"/>
        <w:rPr>
          <w:rFonts w:hAnsi="宋体" w:eastAsia="仿宋_GB2312" w:cs="宋体"/>
          <w:kern w:val="0"/>
          <w:sz w:val="30"/>
          <w:szCs w:val="30"/>
        </w:rPr>
      </w:pPr>
    </w:p>
    <w:p w14:paraId="2E97FF54">
      <w:pPr>
        <w:spacing w:line="540" w:lineRule="exact"/>
        <w:jc w:val="center"/>
        <w:rPr>
          <w:rFonts w:hAnsi="宋体" w:eastAsia="仿宋_GB2312" w:cs="宋体"/>
          <w:kern w:val="0"/>
          <w:sz w:val="30"/>
          <w:szCs w:val="30"/>
        </w:rPr>
      </w:pPr>
    </w:p>
    <w:p w14:paraId="6F68DAFA">
      <w:pPr>
        <w:spacing w:line="540" w:lineRule="exact"/>
        <w:jc w:val="center"/>
        <w:rPr>
          <w:rFonts w:hAnsi="宋体" w:eastAsia="仿宋_GB2312" w:cs="宋体"/>
          <w:kern w:val="0"/>
          <w:sz w:val="30"/>
          <w:szCs w:val="30"/>
        </w:rPr>
      </w:pPr>
    </w:p>
    <w:p w14:paraId="6478E5CD">
      <w:pPr>
        <w:spacing w:line="540" w:lineRule="exact"/>
        <w:rPr>
          <w:rFonts w:hAnsi="宋体" w:eastAsia="仿宋_GB2312" w:cs="宋体"/>
          <w:kern w:val="0"/>
          <w:sz w:val="30"/>
          <w:szCs w:val="30"/>
        </w:rPr>
      </w:pPr>
    </w:p>
    <w:p w14:paraId="4445541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5ABB75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吉木萨尔县2023年房屋征收资金</w:t>
      </w:r>
    </w:p>
    <w:p w14:paraId="7C40B98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吉木萨尔县住建局本级</w:t>
      </w:r>
    </w:p>
    <w:p w14:paraId="435E536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吉木萨尔县住建局本级</w:t>
      </w:r>
    </w:p>
    <w:p w14:paraId="5FC9EF4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王春和</w:t>
      </w:r>
    </w:p>
    <w:p w14:paraId="6C6966F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2024年03月13日</w:t>
      </w:r>
    </w:p>
    <w:p w14:paraId="54DFFECE">
      <w:pPr>
        <w:spacing w:line="700" w:lineRule="exact"/>
        <w:ind w:firstLine="708" w:firstLineChars="236"/>
        <w:jc w:val="left"/>
        <w:rPr>
          <w:rFonts w:hAnsi="宋体" w:eastAsia="仿宋_GB2312" w:cs="宋体"/>
          <w:kern w:val="0"/>
          <w:sz w:val="30"/>
          <w:szCs w:val="30"/>
        </w:rPr>
      </w:pPr>
    </w:p>
    <w:p w14:paraId="22313020">
      <w:pPr>
        <w:spacing w:line="540" w:lineRule="exact"/>
        <w:rPr>
          <w:rStyle w:val="18"/>
          <w:rFonts w:ascii="黑体" w:hAnsi="黑体" w:eastAsia="黑体"/>
          <w:b w:val="0"/>
          <w:spacing w:val="-4"/>
          <w:sz w:val="32"/>
          <w:szCs w:val="32"/>
        </w:rPr>
      </w:pPr>
    </w:p>
    <w:p w14:paraId="0916572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111B3A0">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AB6545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1.项目实施背景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是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设立的《吉木萨尔县2023年房屋征收安置补偿方案》把城市建成区范围内，房屋老旧、使用年限久、房屋质量差、人均建筑面积小、基础设施配套不全、交通不便利、治安和消防隐患大、环境卫生脏乱差的区域进行拆除。这是推进城市化进程、建设现代化发展的必要举措，实现全面建成小康社会目标，具有重要的现实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将城市建成区范围内，房屋老旧、使用年限久、房屋质量差、人均建筑面积小、基础设施配套不全、交通不便利、治安和消防隐患大、环境卫生脏乱差的区域进行拆除，以便于后期项目的开工建设。加大服务基层群众力度，保障征收户得合法权益。投资金额为2323.87万元，资金到位率100%，支出2323.87万元，项目资金预算执行率 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本项目投资2323.87万元，下达预算2323.87万元，截至年末，项目资金到位2323.87元，资金到位率100%，支出2323.87万元，项目资金预算执行率100%。</w:t>
      </w:r>
    </w:p>
    <w:p w14:paraId="41AC4EB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3686A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加快吉木萨尔县城市建设步伐，扩宽城市框架，提升城市品位，切实解决辖区群众居住环境脏乱差等问题，解决被征收户实际困难问题，依据《中华人民共和国城市房地产管理法》《土地管理法》《新疆维吾尔自治区实施</w:t>
      </w:r>
      <w:r>
        <w:rPr>
          <w:rStyle w:val="18"/>
          <w:rFonts w:hint="eastAsia" w:ascii="楷体" w:hAnsi="楷体" w:eastAsia="楷体"/>
          <w:b w:val="0"/>
          <w:bCs w:val="0"/>
          <w:spacing w:val="-4"/>
          <w:sz w:val="32"/>
          <w:szCs w:val="32"/>
          <w:lang w:eastAsia="zh-CN"/>
        </w:rPr>
        <w:t>中华人民共和国土地管理法</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《国有土地上房屋征收与补偿条例》</w:t>
      </w:r>
      <w:r>
        <w:rPr>
          <w:rStyle w:val="18"/>
          <w:rFonts w:hint="eastAsia" w:ascii="楷体" w:hAnsi="楷体" w:eastAsia="楷体"/>
          <w:b w:val="0"/>
          <w:bCs w:val="0"/>
          <w:spacing w:val="-4"/>
          <w:sz w:val="32"/>
          <w:szCs w:val="32"/>
        </w:rPr>
        <w:t>《新疆维吾尔自治区实施</w:t>
      </w:r>
      <w:r>
        <w:rPr>
          <w:rStyle w:val="18"/>
          <w:rFonts w:hint="eastAsia" w:ascii="楷体" w:hAnsi="楷体" w:eastAsia="楷体"/>
          <w:b w:val="0"/>
          <w:bCs w:val="0"/>
          <w:spacing w:val="-4"/>
          <w:sz w:val="32"/>
          <w:szCs w:val="32"/>
          <w:lang w:eastAsia="zh-CN"/>
        </w:rPr>
        <w:t>国有土地上房屋征收与补偿条例</w:t>
      </w:r>
      <w:r>
        <w:rPr>
          <w:rStyle w:val="18"/>
          <w:rFonts w:hint="eastAsia" w:ascii="楷体" w:hAnsi="楷体" w:eastAsia="楷体"/>
          <w:b w:val="0"/>
          <w:bCs w:val="0"/>
          <w:spacing w:val="-4"/>
          <w:sz w:val="32"/>
          <w:szCs w:val="32"/>
        </w:rPr>
        <w:t>办法》及有关法律法规。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情况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“全年涉及被征收户数”指标，预期指标值为“≥92户”；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“县城内涉及被征收户”指标，预期指标值为“≥61户”；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“产教融合城涉及被征收户”指标，预期指标值为“≥31户”；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“补偿发放合规率”指标，预期指标值为“=100%”；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“入户工作完成率”指标，预期指标值为“=100%”；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“一类地”指标，预期指标值为“＜=605元/平方米”；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“二类地”指标，预期指标值为“＜=505元/平方米”；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“三类地”指标，预期指标值为“＜=415元/平方米”；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“四类地”指标，预期指标值为“＜=280元/平方米”；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“保障拆迁居民生活”指标，预期指标值为“有效保障”；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“被征收户满意度”指标，预期指标值为“≥95%”。</w:t>
      </w:r>
    </w:p>
    <w:p w14:paraId="21780DA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5F4A5F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322CA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房屋征收工作经验，发现问题，改进房屋征收工作方式方法，旨在评价本房屋征收补偿资金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吉木萨尔县2023年房屋征收资金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吉木萨尔县2023年房屋征收资金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吉木萨尔县2023年房屋征收资金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吉木萨尔县2023年房屋征收资金项目支出绩效评价，从绩效的角度发现本项目在决策、实施和管理过程中存在的问题，寻求解决方案，为确保城市建设工作顺利进行，切实维护广大被征收户的合法权益，依据《中华人民共和国城市房地产管理法》《土地管理法》等相关法律法规依法开展房屋征收工作，确保城市重点项目建设顺利进行，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县2023年房屋征收资金项目，为确保城市建设工作顺利进行，切实维护广大被征收户的合法权益，依据《中华人民共和国城市房地产管理法》《土地管理法》等相关法律法规依法开展房屋征收工作，确保城市重点项目建设顺利进行，拨付2323.87万元支付房屋征收补偿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(12)《中华人民共和国城市房地产管理法》；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(13)《土地管理法》；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(14)《国有土地上房屋征收与补偿条例》；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(15)《新疆维吾尔自治区实施〈中华人民共和国土地管理法〉办法》；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(16)《新疆维吾尔自治区实施&lt;国有土地上房屋征收与补偿条例&gt;办法》；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（17）《吉木萨尔县2023年房屋征收安置补偿方案》。</w:t>
      </w:r>
    </w:p>
    <w:p w14:paraId="7E1592A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D8E34F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满意度指标：主要采用比较法，根据满意度问卷统计情况计算完成比率与预期指标值对比，达成满意度预期目标的，得满分；未完成指标值的，按照完成值与预期指标值的比值计算得分；满意度小于60%不得分。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8BAECD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AD961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王春和（评价小组组长）：主要负责项目策划和监督，全面负责项目绩效评价报告的最终质量，对评估人员出具的最终报告质量进行复核，确保评估结果的客观性；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冯静（评价小组组员）：主要负责资料的收集，取证、数据统计分析；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汪林兴（评价小组组员）：主要负责项目报告的制定，指标的研判，数据分析及报告撰写。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2024年3月5日-3月10日，评价工作进入实施阶段。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为确保城市建设工作顺利进行，切实维护广大被征收户的合法权益，依据《中华人民共和国城市房地产管理法》《土地管理法》等相关法律法规依法开展房屋征收工作，确保城市重点项目建设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经调研了解，该项目主要受益群体为被征收人。我们根据绩效评价目标和绩效指标体系，设计满意度调查问卷进行问卷调查，其中受益对象共选取样本20人，共发放问卷20份，最终收回20份。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BE15B1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1FEB09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通过项目的实施，完成了房屋征收工作产出目标，发挥了房屋征收工作效益。但在实施过程中也存在一些不足：房屋征收工作人员还需进一步加强学习相关政策法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22个，实现三级指标数量22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项目产出指标共设置9个，满分指标9个，得分率100%；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项目效益指标共设置2个，满分指标2个，得分率100%。</w:t>
      </w:r>
    </w:p>
    <w:p w14:paraId="3FB8820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C61B5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FEBBB76">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结合本县发展规划设立，项目立项符合法律法规、相关政策、发展规划以及部门职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（2）立项程序规范性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严格按照《新疆维吾尔自治区实施&lt;国有土地上房屋征收与补偿条例&gt;办法》《吉木萨尔县2023年房屋征收安置补偿方案》及《国家计委关于重申严格执行基本建设程序和审批规定的通知》（计投资〔1999〕693号文）等国家法律法规程序设立，项目申报、立项批复符合程序，并进行了充分的可行性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（1）绩效目标合理性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为加快吉木萨尔县城市建设步伐，扩宽城市框架，提升城市品位，切实解决辖区群众居住环境脏乱差等问题，解决被征收户实际困难问题，依据《中华人民共和国城市房地产管理法》《土地管理法》《新疆维吾尔自治区实施</w:t>
      </w:r>
      <w:r>
        <w:rPr>
          <w:rStyle w:val="18"/>
          <w:rFonts w:hint="eastAsia" w:ascii="楷体" w:hAnsi="楷体" w:eastAsia="楷体"/>
          <w:b w:val="0"/>
          <w:bCs w:val="0"/>
          <w:spacing w:val="-4"/>
          <w:sz w:val="32"/>
          <w:szCs w:val="32"/>
          <w:lang w:eastAsia="zh-CN"/>
        </w:rPr>
        <w:t>中华人民共和国土地管理法</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《国有土地上房屋征收与补偿条例》</w:t>
      </w:r>
      <w:r>
        <w:rPr>
          <w:rStyle w:val="18"/>
          <w:rFonts w:hint="eastAsia" w:ascii="楷体" w:hAnsi="楷体" w:eastAsia="楷体"/>
          <w:b w:val="0"/>
          <w:bCs w:val="0"/>
          <w:spacing w:val="-4"/>
          <w:sz w:val="32"/>
          <w:szCs w:val="32"/>
        </w:rPr>
        <w:t>《新疆维吾尔自治区实施</w:t>
      </w:r>
      <w:r>
        <w:rPr>
          <w:rStyle w:val="18"/>
          <w:rFonts w:hint="eastAsia" w:ascii="楷体" w:hAnsi="楷体" w:eastAsia="楷体"/>
          <w:b w:val="0"/>
          <w:bCs w:val="0"/>
          <w:spacing w:val="-4"/>
          <w:sz w:val="32"/>
          <w:szCs w:val="32"/>
          <w:lang w:eastAsia="zh-CN"/>
        </w:rPr>
        <w:t>国有土地上房屋征收与补偿条例</w:t>
      </w:r>
      <w:r>
        <w:rPr>
          <w:rStyle w:val="18"/>
          <w:rFonts w:hint="eastAsia" w:ascii="楷体" w:hAnsi="楷体" w:eastAsia="楷体"/>
          <w:b w:val="0"/>
          <w:bCs w:val="0"/>
          <w:spacing w:val="-4"/>
          <w:sz w:val="32"/>
          <w:szCs w:val="32"/>
        </w:rPr>
        <w:t>办法》及有关法律法规”。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②该项目实际工作内容为：主要完成县城规划区范围内和产教融合城涉及被征收户92户，确保城市重点项目的开工建设。绩效目标与实际工作内容一致，两者具有相关性。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③该项目按照绩效目标完成92户被征收户的征收任务，预期产出效益和效果是否符合正常的业绩水平。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④该项目批复的预算金额为2323.87万元，《项目支出绩效目标表》中预算金额为2323.87万元，预算确定的项目资金与预算确定的项目投资额相匹配。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（2）绩效指标明确性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10个，定性指标1个，指标量化率为90.9%，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全年涉及被征收户、县城规划区范围内、产教融合城涉及被征收户，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（1）预算编制科学性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经过论证，并由新疆嘉诚房地产评估测绘有限公司根据《吉木萨尔县2023年房屋征收安置补偿方案》标准及被征收户的用地面积、被征收户房屋、附属物情况进行评估测算预算资金，资金额度与年度目标相适应，预算编制较细化、较准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（2）资金分配合理性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本项目资金由住建局请示县人民政府，根据县财政情况，拨付给住建局，再由征收办根据签约情况，给予支付征收款，保证公正合理的支付征收补偿款。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4B2643E2">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D318E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依据县党财办〔2023〕3号文件，本项目预算资金为2323.87万元，实际到位资金2323.87万元，资金到位率100%。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综上所述，本指标满分为3.0分，根据评分标准3分，本项目资金到位率为100%。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（2）预算执行率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截至2023年12月底，本项目实际支出资金2323.87万元，预算执行率100%。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（1）资金使用合规性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由新疆嘉诚房地产评估测绘有限公司出具《分户明细表》、根据被征收户提交的《房产证》《土地使用证》《户口本》《公证书》《承诺书》等资料，住建局与被征收户签订《吉木萨尔县棚户区改造房屋征收补偿安置合同》，由县住建局向县人民政府递交申请补偿资金的请示，待政府会议研究通过之后，县财政将资金拨付给县住建局，再由征收办向被征收人支付。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（2）管理制度健全性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结合本县发展规划设立，制定了《吉木萨尔县2023年房屋征收安置补偿方案》，征收办根据签约情况办理资金支付手续，由领导审批签字，报财务室，财务室审核与支付，业务制度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（3）制度执行有效性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2023年房屋征收安置补偿方案》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②经现场查证《房产证》《土地使用证》《户口本》《公证书》《承诺书》、财务支付凭证等资料齐全并及时归档。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各地区以及本单位资金管理办法执行，项目启动实施后，为了加快本项目的实施，成立了吉木萨尔县2023年房屋征收补偿资金项目工作领导小组，由王春和任组长，负责项目的组织工作；冯静任副组长，负责项目的实施工作；组员包括：杨帆和汪林兴，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592118B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98E9E6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“全年涉及被征收户”指标：预期指标值为“≥92户”，实际完成指标值为“92户”，指标完成率为100.0%。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“县城规划区范围内”指标：预期指标值为“≥61户”，实际完成指标值为“61户”，指标完成率为100.0%。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“产教融合城涉及被征收户”指标：预期指标值为“≥31户”，实际完成指标值为“31户”，指标完成率为100.0%。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“补偿发放合规率”指标：预期指标值为“100%”，实际完成指标值为“100%”，指标完成率为100%。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综上所述，本指标满分为8分，根据评分标准得8分。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“入户工作完成率”指标：预期指标值为“100%”，实际完成指标值为“100%”，指标完成率为100%。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综上所述，本指标满分为8分，根据评分标准得8分。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“一类地”指标：预期指标值为“＜=605元/平方米”，实际完成指标值为“605元/平方米”，指标完成率为100%。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“二类地”指标：预期指标值为“＜=505元/平方米”，实际完成指标值为“505元/平方米”，指标完成率为100%。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“三类地”指标：预期指标值为“＜=415元/平方米”，实际完成指标值为“415元/平方米”，指标完成率为100%。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“四类地”指标：预期指标值为“＜=280元/平方米”，实际完成指标值为“280元/平方米”，指标完成率为100%。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162EC6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614979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“保障被征收户生活”指标：预期指标值为“有效保障”，实际完成指标值为“基本达成目标”，指标完成率为100.0%。综上所述，本指标满分为15分，根据评分标准得15分。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“被征收户满意度”指标：预期指标值为“＞=95%”，实际完成指标值为“95%”，指标完成率为100%。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p>
    <w:p w14:paraId="642B2C85">
      <w:pPr>
        <w:spacing w:line="540" w:lineRule="exact"/>
        <w:ind w:firstLine="567"/>
        <w:rPr>
          <w:rStyle w:val="18"/>
          <w:rFonts w:ascii="楷体" w:hAnsi="楷体" w:eastAsia="楷体"/>
          <w:spacing w:val="-4"/>
          <w:sz w:val="32"/>
          <w:szCs w:val="32"/>
        </w:rPr>
      </w:pPr>
    </w:p>
    <w:p w14:paraId="57493DF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326052D2">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本项目年初预算资金总额为2323.87万元，全年预算数为2323.87万元，全年执行数为2323.87万元，预算执行率为100%。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本项目共设置三级指标数量22个，满分指标数量22个，扣分指标数量0个，经分析计算所有三级指标完成率得出，本项目总体完成率为100%。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2DEE92F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F80483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资金及时足额的拨付给住建局，再由征收办根据签约情况支付给征收户，资金由专人管理，无截留、挪用及改变专项资金的用途等。对项目单位专项资金的使用情况进行跟踪和监督，并定期对执行单位专项资金进行检查，使专项资金充分发挥效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1.部分人员对业务能力掌握不够，熟练程度不高，不能很好的配合工作的开展。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2.加强对档案资料的完善，加强对档案的管理及使用。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3.日常工作多而杂，有时忽视对整体工作的把握。</w:t>
      </w:r>
    </w:p>
    <w:p w14:paraId="66E1375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3C4BEEF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1.加强业务学习，提高业务能力的熟练性。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2.要进一步完善项目实施过程中的相关监管资料，落实后期管护的相关制度和责任。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3.建议加强工作人员变动时的交接和指导工作，如无工作调动等，建议不要轻易换人。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4.提高工程管理制度化建设水平，不断提升工程项目的管理理念。</w:t>
      </w:r>
    </w:p>
    <w:p w14:paraId="52CF06A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1A70E9D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25B2C3CC">
      <w:pPr>
        <w:spacing w:line="540" w:lineRule="exact"/>
        <w:ind w:firstLine="567"/>
        <w:rPr>
          <w:rStyle w:val="18"/>
          <w:rFonts w:ascii="仿宋" w:hAnsi="仿宋" w:eastAsia="仿宋"/>
          <w:b w:val="0"/>
          <w:spacing w:val="-4"/>
          <w:sz w:val="32"/>
          <w:szCs w:val="32"/>
        </w:rPr>
      </w:pPr>
    </w:p>
    <w:p w14:paraId="715A9A74">
      <w:pPr>
        <w:spacing w:line="540" w:lineRule="exact"/>
        <w:ind w:firstLine="567"/>
        <w:rPr>
          <w:rStyle w:val="18"/>
          <w:rFonts w:ascii="仿宋" w:hAnsi="仿宋" w:eastAsia="仿宋"/>
          <w:b w:val="0"/>
          <w:spacing w:val="-4"/>
          <w:sz w:val="32"/>
          <w:szCs w:val="32"/>
        </w:rPr>
      </w:pPr>
    </w:p>
    <w:p w14:paraId="7C251FED">
      <w:pPr>
        <w:spacing w:line="540" w:lineRule="exact"/>
        <w:ind w:firstLine="567"/>
        <w:rPr>
          <w:rStyle w:val="18"/>
          <w:rFonts w:ascii="仿宋" w:hAnsi="仿宋" w:eastAsia="仿宋"/>
          <w:b w:val="0"/>
          <w:spacing w:val="-4"/>
          <w:sz w:val="32"/>
          <w:szCs w:val="32"/>
        </w:rPr>
      </w:pPr>
    </w:p>
    <w:p w14:paraId="79A1B74D">
      <w:pPr>
        <w:spacing w:line="540" w:lineRule="exact"/>
        <w:ind w:firstLine="567"/>
        <w:rPr>
          <w:rStyle w:val="18"/>
          <w:rFonts w:ascii="仿宋" w:hAnsi="仿宋" w:eastAsia="仿宋"/>
          <w:b w:val="0"/>
          <w:spacing w:val="-4"/>
          <w:sz w:val="32"/>
          <w:szCs w:val="32"/>
        </w:rPr>
      </w:pPr>
    </w:p>
    <w:p w14:paraId="228C13B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D2737C-0459-4260-9832-0E2FC8F701B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A46F595-1E83-4DD9-88EA-23F4C4AD37E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302BF0F-7697-43D9-A92C-76812CD860E0}"/>
  </w:font>
  <w:font w:name="华文中宋">
    <w:panose1 w:val="02010600040101010101"/>
    <w:charset w:val="86"/>
    <w:family w:val="auto"/>
    <w:pitch w:val="default"/>
    <w:sig w:usb0="00000287" w:usb1="080F0000" w:usb2="00000000" w:usb3="00000000" w:csb0="0004009F" w:csb1="DFD70000"/>
    <w:embedRegular r:id="rId4" w:fontKey="{60450088-5477-46F7-BD69-F5FA16E12133}"/>
  </w:font>
  <w:font w:name="方正小标宋_GBK">
    <w:panose1 w:val="02000000000000000000"/>
    <w:charset w:val="86"/>
    <w:family w:val="script"/>
    <w:pitch w:val="default"/>
    <w:sig w:usb0="A00002BF" w:usb1="38CF7CFA" w:usb2="00082016" w:usb3="00000000" w:csb0="00040001" w:csb1="00000000"/>
    <w:embedRegular r:id="rId5" w:fontKey="{3A7339C2-6C46-45D9-AEC5-7E6920AE75D9}"/>
  </w:font>
  <w:font w:name="仿宋_GB2312">
    <w:panose1 w:val="02010609030101010101"/>
    <w:charset w:val="86"/>
    <w:family w:val="modern"/>
    <w:pitch w:val="default"/>
    <w:sig w:usb0="00000001" w:usb1="080E0000" w:usb2="00000000" w:usb3="00000000" w:csb0="00040000" w:csb1="00000000"/>
    <w:embedRegular r:id="rId6" w:fontKey="{1A61DD13-88F8-4C4C-9587-D88EC333B138}"/>
  </w:font>
  <w:font w:name="楷体">
    <w:panose1 w:val="02010609060101010101"/>
    <w:charset w:val="86"/>
    <w:family w:val="modern"/>
    <w:pitch w:val="default"/>
    <w:sig w:usb0="800002BF" w:usb1="38CF7CFA" w:usb2="00000016" w:usb3="00000000" w:csb0="00040001" w:csb1="00000000"/>
    <w:embedRegular r:id="rId7" w:fontKey="{2525DE17-EECE-4903-A306-2D39F63F10E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29A0BAF">
        <w:pPr>
          <w:pStyle w:val="12"/>
          <w:jc w:val="center"/>
        </w:pPr>
        <w:r>
          <w:fldChar w:fldCharType="begin"/>
        </w:r>
        <w:r>
          <w:instrText xml:space="preserve">PAGE   \* MERGEFORMAT</w:instrText>
        </w:r>
        <w:r>
          <w:fldChar w:fldCharType="separate"/>
        </w:r>
        <w:r>
          <w:rPr>
            <w:lang w:val="zh-CN"/>
          </w:rPr>
          <w:t>2</w:t>
        </w:r>
        <w:r>
          <w:fldChar w:fldCharType="end"/>
        </w:r>
      </w:p>
    </w:sdtContent>
  </w:sdt>
  <w:p w14:paraId="19507B3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33A14BE"/>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10393</Words>
  <Characters>10962</Characters>
  <Lines>4</Lines>
  <Paragraphs>1</Paragraphs>
  <TotalTime>3</TotalTime>
  <ScaleCrop>false</ScaleCrop>
  <LinksUpToDate>false</LinksUpToDate>
  <CharactersWithSpaces>10994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2025-10-16T04:42:18Z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