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4E0C9">
      <w:pPr>
        <w:spacing w:line="540" w:lineRule="exact"/>
        <w:jc w:val="left"/>
        <w:rPr>
          <w:rFonts w:ascii="仿宋" w:hAnsi="仿宋" w:eastAsia="仿宋" w:cs="宋体"/>
          <w:kern w:val="0"/>
          <w:sz w:val="32"/>
          <w:szCs w:val="32"/>
        </w:rPr>
      </w:pPr>
      <w:bookmarkStart w:id="0" w:name="_GoBack"/>
      <w:r>
        <w:rPr>
          <w:rFonts w:hint="eastAsia" w:ascii="仿宋" w:hAnsi="仿宋" w:eastAsia="仿宋" w:cs="宋体"/>
          <w:kern w:val="0"/>
          <w:sz w:val="32"/>
          <w:szCs w:val="32"/>
        </w:rPr>
        <w:t>附件2：</w:t>
      </w:r>
    </w:p>
    <w:p w14:paraId="7BCC3822">
      <w:pPr>
        <w:spacing w:line="540" w:lineRule="exact"/>
        <w:jc w:val="center"/>
        <w:rPr>
          <w:rFonts w:ascii="华文中宋" w:hAnsi="华文中宋" w:eastAsia="华文中宋" w:cs="宋体"/>
          <w:b/>
          <w:kern w:val="0"/>
          <w:sz w:val="52"/>
          <w:szCs w:val="52"/>
        </w:rPr>
      </w:pPr>
    </w:p>
    <w:p w14:paraId="499728D7">
      <w:pPr>
        <w:spacing w:line="540" w:lineRule="exact"/>
        <w:jc w:val="center"/>
        <w:rPr>
          <w:rFonts w:ascii="华文中宋" w:hAnsi="华文中宋" w:eastAsia="华文中宋" w:cs="宋体"/>
          <w:b/>
          <w:kern w:val="0"/>
          <w:sz w:val="52"/>
          <w:szCs w:val="52"/>
        </w:rPr>
      </w:pPr>
    </w:p>
    <w:p w14:paraId="25F94F3C">
      <w:pPr>
        <w:spacing w:line="540" w:lineRule="exact"/>
        <w:jc w:val="center"/>
        <w:rPr>
          <w:rFonts w:ascii="华文中宋" w:hAnsi="华文中宋" w:eastAsia="华文中宋" w:cs="宋体"/>
          <w:b/>
          <w:kern w:val="0"/>
          <w:sz w:val="52"/>
          <w:szCs w:val="52"/>
        </w:rPr>
      </w:pPr>
    </w:p>
    <w:p w14:paraId="61FD8A91">
      <w:pPr>
        <w:spacing w:line="540" w:lineRule="exact"/>
        <w:jc w:val="center"/>
        <w:rPr>
          <w:rFonts w:ascii="华文中宋" w:hAnsi="华文中宋" w:eastAsia="华文中宋" w:cs="宋体"/>
          <w:b/>
          <w:kern w:val="0"/>
          <w:sz w:val="52"/>
          <w:szCs w:val="52"/>
        </w:rPr>
      </w:pPr>
    </w:p>
    <w:p w14:paraId="3F831998">
      <w:pPr>
        <w:spacing w:line="540" w:lineRule="exact"/>
        <w:jc w:val="center"/>
        <w:rPr>
          <w:rFonts w:ascii="华文中宋" w:hAnsi="华文中宋" w:eastAsia="华文中宋" w:cs="宋体"/>
          <w:b/>
          <w:kern w:val="0"/>
          <w:sz w:val="52"/>
          <w:szCs w:val="52"/>
        </w:rPr>
      </w:pPr>
    </w:p>
    <w:p w14:paraId="34CDD9E4">
      <w:pPr>
        <w:spacing w:line="540" w:lineRule="exact"/>
        <w:jc w:val="center"/>
        <w:rPr>
          <w:rFonts w:ascii="华文中宋" w:hAnsi="华文中宋" w:eastAsia="华文中宋" w:cs="宋体"/>
          <w:b/>
          <w:kern w:val="0"/>
          <w:sz w:val="52"/>
          <w:szCs w:val="52"/>
        </w:rPr>
      </w:pPr>
    </w:p>
    <w:p w14:paraId="2227A64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07CEB42">
      <w:pPr>
        <w:spacing w:line="540" w:lineRule="exact"/>
        <w:jc w:val="center"/>
        <w:rPr>
          <w:rFonts w:ascii="华文中宋" w:hAnsi="华文中宋" w:eastAsia="华文中宋" w:cs="宋体"/>
          <w:b/>
          <w:kern w:val="0"/>
          <w:sz w:val="52"/>
          <w:szCs w:val="52"/>
        </w:rPr>
      </w:pPr>
    </w:p>
    <w:p w14:paraId="4063BB5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3FA7C25">
      <w:pPr>
        <w:spacing w:line="540" w:lineRule="exact"/>
        <w:jc w:val="center"/>
        <w:rPr>
          <w:rFonts w:hAnsi="宋体" w:eastAsia="仿宋_GB2312" w:cs="宋体"/>
          <w:kern w:val="0"/>
          <w:sz w:val="30"/>
          <w:szCs w:val="30"/>
        </w:rPr>
      </w:pPr>
    </w:p>
    <w:p w14:paraId="681FF403">
      <w:pPr>
        <w:spacing w:line="540" w:lineRule="exact"/>
        <w:jc w:val="center"/>
        <w:rPr>
          <w:rFonts w:hAnsi="宋体" w:eastAsia="仿宋_GB2312" w:cs="宋体"/>
          <w:kern w:val="0"/>
          <w:sz w:val="30"/>
          <w:szCs w:val="30"/>
        </w:rPr>
      </w:pPr>
    </w:p>
    <w:p w14:paraId="11B80784">
      <w:pPr>
        <w:spacing w:line="540" w:lineRule="exact"/>
        <w:jc w:val="center"/>
        <w:rPr>
          <w:rFonts w:hAnsi="宋体" w:eastAsia="仿宋_GB2312" w:cs="宋体"/>
          <w:kern w:val="0"/>
          <w:sz w:val="30"/>
          <w:szCs w:val="30"/>
        </w:rPr>
      </w:pPr>
    </w:p>
    <w:p w14:paraId="2BC1A031">
      <w:pPr>
        <w:spacing w:line="540" w:lineRule="exact"/>
        <w:jc w:val="center"/>
        <w:rPr>
          <w:rFonts w:hAnsi="宋体" w:eastAsia="仿宋_GB2312" w:cs="宋体"/>
          <w:kern w:val="0"/>
          <w:sz w:val="30"/>
          <w:szCs w:val="30"/>
        </w:rPr>
      </w:pPr>
    </w:p>
    <w:p w14:paraId="2E3DE65F">
      <w:pPr>
        <w:spacing w:line="540" w:lineRule="exact"/>
        <w:jc w:val="center"/>
        <w:rPr>
          <w:rFonts w:hAnsi="宋体" w:eastAsia="仿宋_GB2312" w:cs="宋体"/>
          <w:kern w:val="0"/>
          <w:sz w:val="30"/>
          <w:szCs w:val="30"/>
        </w:rPr>
      </w:pPr>
    </w:p>
    <w:p w14:paraId="6E38D394">
      <w:pPr>
        <w:spacing w:line="540" w:lineRule="exact"/>
        <w:jc w:val="center"/>
        <w:rPr>
          <w:rFonts w:hAnsi="宋体" w:eastAsia="仿宋_GB2312" w:cs="宋体"/>
          <w:kern w:val="0"/>
          <w:sz w:val="30"/>
          <w:szCs w:val="30"/>
        </w:rPr>
      </w:pPr>
    </w:p>
    <w:p w14:paraId="5C983534">
      <w:pPr>
        <w:spacing w:line="540" w:lineRule="exact"/>
        <w:rPr>
          <w:rFonts w:hAnsi="宋体" w:eastAsia="仿宋_GB2312" w:cs="宋体"/>
          <w:kern w:val="0"/>
          <w:sz w:val="30"/>
          <w:szCs w:val="30"/>
        </w:rPr>
      </w:pPr>
    </w:p>
    <w:p w14:paraId="4712585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8CDAF4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昌州财社【2022】64号文关于自治区财政优抚对象补助经费</w:t>
      </w:r>
    </w:p>
    <w:p w14:paraId="0E6F71A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吉木萨尔县退役军人事务局</w:t>
      </w:r>
    </w:p>
    <w:p w14:paraId="6760336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吉木萨尔县退役军人事务局</w:t>
      </w:r>
    </w:p>
    <w:p w14:paraId="23F1120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谢振刚</w:t>
      </w:r>
    </w:p>
    <w:p w14:paraId="4CF7631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2024年03月15日</w:t>
      </w:r>
    </w:p>
    <w:p w14:paraId="4A4230F4">
      <w:pPr>
        <w:spacing w:line="700" w:lineRule="exact"/>
        <w:ind w:firstLine="708" w:firstLineChars="236"/>
        <w:jc w:val="left"/>
        <w:rPr>
          <w:rFonts w:hAnsi="宋体" w:eastAsia="仿宋_GB2312" w:cs="宋体"/>
          <w:kern w:val="0"/>
          <w:sz w:val="30"/>
          <w:szCs w:val="30"/>
        </w:rPr>
      </w:pPr>
    </w:p>
    <w:p w14:paraId="0DE0CB49">
      <w:pPr>
        <w:spacing w:line="540" w:lineRule="exact"/>
        <w:rPr>
          <w:rStyle w:val="18"/>
          <w:rFonts w:ascii="黑体" w:hAnsi="黑体" w:eastAsia="黑体"/>
          <w:b w:val="0"/>
          <w:spacing w:val="-4"/>
          <w:sz w:val="32"/>
          <w:szCs w:val="32"/>
        </w:rPr>
      </w:pPr>
    </w:p>
    <w:p w14:paraId="08710D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C82E6D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D5779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保障国家对军人的抚恤优待，激励军人保卫国家、建设祖国的献身精神，加强国防和军队建设，根据《中华人民共和国国防法》、《中华人民共和国兵役法》等有关法律，制定《军人优待抚恤条例》。发放优抚金彰显军人荣誉与社会地位提升，改善退役军人及其家属的生活质量。增强尊严感和自豪感解决优抚对象生活困难等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（1）项目名称：昌州财社【2022】64号文关于自治区财政优抚对象补助经费项目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实施主体：吉木萨尔县退役军人事务局。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实施时间：本项目实施周期为2023年1月1日-2023年12月31日。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优抚专项资金是党和政府对优抚对象的专项生活补助，是民生资金，管好用好优抚专项资金是落实上级有关政策，传达党和政府关爱，维护社会稳定，促进社会和谐发展的重要举措，通过及时足额发放优抚资金，我县退役军人群体的合法权益得到了根本保障，确保了社会大局的和谐稳定。该项目目标是落实在乡老复员军人、伤残军人、伤残人民警察、伤残公务员、三属、老烈子女、参战参试退役军人、带病回乡退伍军人、农村籍60周岁退役士兵生活补助资金；2023年优抚专项资金通过惠农补贴一卡通系统按月发放，按时足额到位、管理严格、执行较好，退伍军人生活水平逐步改善，稳定军心、促进社会稳定、和谐效果显著，服务对象满意度≥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1.拟定并贯彻落实退役军人思想政治、管理保障和安置优抚等工作政策法规，褒扬彰显退役军人为党、国家和人民牺牲奉献的精神风范和价值导向。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2.负责军队转业干部、复员干部、离休退休干部、退役士兵和无军籍退休退职职工的移交安置工作，以及自主择业就业退役军人服务管理工作。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3.组织开展退役军人教育培训工作，协调扶持退役军人和随军随调家属就业创业。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4.会同有关部门制定并组织实施退役军人特殊保障政策的具体措施。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5.组织协调落实移交地方的离休退休军人、符合条件的其他退役军人和无军籍退休退职职工的住房保障工作，以及退役军人医疗保障、社会保险等待遇保障工作。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6.指导并组织开展伤病残退役军人服务管理和抚恤工作，制定有关退役军人医疗、疗养、养老等机构的规划政策并组织实施。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7.指导并组织开展拥军优属工作。负责现役军人、退役军人、军队文职人员和军属的优待、抚恤等工作，落实国民党抗战老兵等有关人员优待政策。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8.负责烈士及退役军人荣誉奖励、军人公墓维护以及纪念活动等，依法承担英雄烈士保护相关工作。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9.指导并监督检查退役军人相关法律法规和政策措施的落实，组织开展退役军人权益维护和有关人员的帮扶援助工作。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吉木萨尔县退役军人事务局属于行政单位，行政编制5人，下设服务中心，事业编5人。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州财社【2022】64号文关于自治区财政优抚对象补助经费项目预算安排总额为349.65万元，资金来源为自治区专项资金，其中：财政资金349.65万元，其他资金0万元，2023年实际收到预算资金349.65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截至2023年12月31日，本项目实际支付资金349.65万元，预算执行率100%。本项目资金主要用于支付优抚对象补助349.65万元，为351名优抚对象发放优抚金。</w:t>
      </w:r>
    </w:p>
    <w:p w14:paraId="059FA00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5CF84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计完成昌州财社【2022】64号文关于提前下达2023年自治区财政优抚对象补助经费支付全县2023年优抚对象生活补助349.65万元，本项目于2023年12月31日前完成。其中包含60岁农村籍老军人大于等于250人、8023退役人员大于等于13人；带病回乡退役军人数大于等于6人；伤残军人人数大于等于27人；伤残民兵人数大于等于3人；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优待抚恤条例》的规定、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“60岁农村籍军人人数”指标，预期指标值为“≥250人”；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“带病回乡退伍军人人数”指标，预期指标值为“≥6人”；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“伤残军人人数”指标，预期指标值为“≥27人”；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“伤残国家工作人员人数”指标，预期指标值为“≥9人”；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“伤残警察人数”指标，预期指标值为“≥2人”；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“伤残民兵人数”指标，预期指标值为“≥3人”；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人数”指标，预期指标值为“≥10人”；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“在因公牺牲遗属人数”指标，预期指标值为“≥2人”；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“烈士遗属人数”指标，预期指标值为“≥2人”；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“社会救助人员人数 ”指标，预期指标值为“≥2人”；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“参战参试人数”指标，预期指标值为“≥2人”；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“优抚生活补助发放准确率（%）”指标，预期指标值为“100%”；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“优抚生活补助发放及时率”指标，预期指标值为“100%”；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“2023年自治区财政优抚对象补助资金 ”指标，预期指标值为“349.65万元”；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“有效解决优抚对象生活困难”指标，预期指标值为“有效改善”；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“享受优抚对象满意度”指标，预期指标值为“≥90”。</w:t>
      </w:r>
    </w:p>
    <w:p w14:paraId="12EB392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6D7320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BF987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州财社【2022】64号文关于自治区财政优抚对象补助经费项目，评价核心为项目资金、项目产出、项目效益、项目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（12）《关于调整部分优抚对象等人员抚恤和生活补助标准的调整》（新退役军人【2023】36号）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（13）《军人优待抚恤条例》。</w:t>
      </w:r>
    </w:p>
    <w:p w14:paraId="147582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803B6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4A2EA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86861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王红星（评价小组组长）：主要负责项目策划和监督，全面负责项目绩效评价办稿的最终质量，对评估人员出具的最终报告质量进行复核，确保评估结果的客观性；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马晓英（评价小组组员）：主要负责资料的收集，取证、数据统计分析；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邱菊（评价小组组员）：主要负责主要负责项目报告的制定，指标的研判，数据分析及报告撰写。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2024年3月7日-3月12日，评价工作进入实施阶段。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优抚对象、伤残军人、三属、在乡复原老军人等。我们根据绩效评价目标和绩效指标体系，设计满意度调查问卷进行问卷调查，其中351人受益对象共选取样本351人，共发放问卷351份，最终收回351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2024年3月1日-3月23日，评价小组按照绩效评价的原则和规范，对取得的资料进行审查核实，对采集的数据进行分析，按照绩效评价指标评分表逐项进行打分、分析、汇总各方评价结果。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2024年3月24-3月28日，评价小组撰写绩效评价报告，按照新疆维吾尔自治区财政绩效管理信息系统绩效评价模块中统一格式和文本框架撰写绩效评价报告并提交审核。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94B63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BB3F5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部分达成）年初设立的绩效目标，在实施过程中取得了良好的成效，具体表现在：通过项目的实施，完成了昌州财社【2022】64号文关于自治区财政优抚对象补助经费项目产出目标，发挥了社会效益。但在实施过程中也存在一些不足：人员不固定，导致每月出现发放错误。系统太繁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27个，实现三级指标数量27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项目产出类指标共设置14个，满分指标14个，得分率100%；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6009318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59028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334265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国务院颁发的《军人优待抚恤条例》（中华人民共和国中央军事委员会第413号）中：“第四章”；本项目立项符合《军人优待抚恤条例》中：“第二章死亡抚恤第三章残疾抚恤第四章优待”内容，符合行业发展规划和政策要求；本项目立项符合《吉木萨尔县退役军人事务局三定范围配置内设机构和人员编制规定》中职责范围中的“主要职责”，属于我单位履职所需；根据《财政资金直接支付申请书》，本项目资金性质为“公共财政预算”功能分类为“[2080899]其他优抚支出”经济分类为“[50901]社会福利和救助”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时间为2023年1月，履行优抚对象认证及待遇发放程序，该项目立项依据昌州财社【2022】64号文关于自治区财政优抚对象补助经费。该项目实施标准严格按照《关于调整优抚对象等人员抚恤和生活补助标准的通知》（新退役军人发【2023】36号）文件标准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预计完成昌州财社【2022】64号文关于提前下达2023年自治区财政优抚对象补助经费支付全县2023年优抚对象生活补助349.65万元，本项目于2023年12月31日前完成。其中包含60岁农村籍老军人大于等于250人、8023退役人员大于等于13人；带病回乡退役军人数大于等于6人；伤残军人人数大于等于27人；伤残民兵人数大于等于3人；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截至2023年年底实际发放优抚对象生活补助349.65万元。其中包含60岁农村籍老军人大于等于250人、8023退役人员大于等于13人；带病回乡退役军人数大于等于6人；伤残军人人数大于等于27人；伤残民兵人数大于等于3人；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③该项目按照绩效目标完成了1.数量指标其中：60岁农村籍老军人大于等于250人、8023退役人员大于等于13人；带病回乡退役军人数大于等于6人；伤残军人人数大于等于27人；伤残民兵人数大于等于3人；在乡老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小于等于10人；因公牺牲遗属人数大于等于2人；烈士遗属人数大于等于2人；伤残警察大于等于2人；社会救助人员人数大于等于2人；2.质量指标：优抚对象生活补助发放准确率100%；3.时效指标：优抚对象生活补助发放及时率100%；4.成本指标：2023年自治区财政优抚对象补助资金， 完成率100%。完成优抚补助资金发放工作，有效解决优抚对象生活困难。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④该项目批复的预算金额为349.79万元，《项目支出绩效目标表》中预算金额为349.79万元，预算确定的项目资金与预算确定的项目投资额相匹配。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16个，定量指标15个，定性指标1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该《项目绩效目标申报表》中，数量指标指标值为60岁农村籍老军人大于等于250人、8023退役人员大于等于13人；带病回乡退役军人数大于等于6人；伤残军人人数大于等于27人；伤残民兵人数大于等于3人；在乡老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小于等于10人；因公牺牲遗属人数大于等于2人；烈士遗属人数大于等于2人；伤残警察大于等于2人；社会救助人员人数大于等于2人；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本项目昌州财社【2022】64号文关于自治区财政优抚对象补助经费，即预算编制较科学且经过论证；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本项目预算申请内容为优抚对象补助经费，项目实际内容为优抚对象补助经费，预算申请与《昌州财社【2022】64号文关于自治区财政优抚对象补助经费项目实施方案》中涉及的项目内容匹配；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349.79万元，我单位在预算申请中严格按照项目实施内容及测算标准进行核算，其中：优抚补助费用349.79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①本项目实际分配资金以《昌州财社【2022】64号文关于自治区财政优抚对象补助经费》文件为依据进行资金分配，预算资金分配依据充分。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②根据《昌州财社【2022】64号文关于自治区财政优抚对象补助经费》文件显示，本项目实际到位资金349.79万元，实际分配资金与我单位提交申请的资金额度一致，资金分配额度合理，与我单位实际需求相适应。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610F373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7A2D7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依据《昌州财社【2022】64号文关于自治区财政优抚对象补助经费》项目，本项目预算资金为349.79万元，实际到位资金349.79万元，资金到位率100%。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2023年12月底，本项目实际支出资金349.65万元，预算执行率99.92%。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退役军人事务局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退役军人事务局资金管理办法》、《退役军人事务局资金收支业务管理制度》、《退役军人事务局政府采购业务管理制度》、《退役军人事务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军人优待抚恤条例》等相关法律法规及管理规定，项目具备完整规范的立项程序；经查证项目实施过程资料，验收等过程均按照发放管理办法等相关制度执行，基本完成既定目标；经查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②经现场查证项目审批发放资料、财务支付凭证等资料齐全并及时归档。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州财社【2022】64号文关于自治区财政优抚对象补助经费项目工作领导小组，由王红星任组长，负责项目的组织工作；罗娟任副组长，负责项目的实施工作；组员包括：谢振刚和马晓英，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4AC72C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3FE40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项目产出类指标由3个二级指标和14个三级指标构成，权重分30.0分，实际得分30分。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60岁农村籍老军人预期指标值为≥250人，实际完成指标值为250人，指标完成率为100.0%。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带病回乡退役军人数预期指标值为≥6人，实际完成指标值为6人，指标完成率为100.0%。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伤残军人人数预期指标值为≥27人，实际完成指标值为27人，指标完成率为100.0%。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伤残国家工作人员人数预期指标值为≥9人，实际完成指标值为9人；指标完成率为100.0%。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伤残警察人数预期指标值为≥2人，实际完成指标值2人；指标完成率为100.0%。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伤残民兵人数预期指标值为≥3人，实际完成指标值为3人；指标完成率为100.0%。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在乡老</w:t>
      </w:r>
      <w:r>
        <w:rPr>
          <w:rStyle w:val="18"/>
          <w:rFonts w:hint="eastAsia" w:ascii="楷体" w:hAnsi="楷体" w:eastAsia="楷体"/>
          <w:b w:val="0"/>
          <w:bCs w:val="0"/>
          <w:spacing w:val="-4"/>
          <w:sz w:val="32"/>
          <w:szCs w:val="32"/>
          <w:lang w:eastAsia="zh-CN"/>
        </w:rPr>
        <w:t>复员军人</w:t>
      </w:r>
      <w:r>
        <w:rPr>
          <w:rStyle w:val="18"/>
          <w:rFonts w:hint="eastAsia" w:ascii="楷体" w:hAnsi="楷体" w:eastAsia="楷体"/>
          <w:b w:val="0"/>
          <w:bCs w:val="0"/>
          <w:spacing w:val="-4"/>
          <w:sz w:val="32"/>
          <w:szCs w:val="32"/>
        </w:rPr>
        <w:t>人数预期指标值为≤10人，实际完成指标值为10人；指标完成率为100.0%。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因公牺牲遗属人数预期指标值为≥2人，实际完成指标值为2人；指标完成率为100.0%。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烈士遗属人数预期指标值为≥2人，实际完成指标值为2人；指标完成率为100.0%。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社会救助人员人数预期指标值为≥2人，实际完成指标值为2人；指标完成率为100.0%。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参战参试人数预期指标值为≥13人，实际完成指标值为13人；指标完成率为100.0%。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综上所述，本指标满分为18分，根据评分标准得18分。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“优抚生活补助发放准确率”指标：预期指标值为“100%”，实际完成指标值为“100%”，指标完成率为100%。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综上所述，本指标满分为1分，根据评分标准得1分。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“优抚生活补助发放及时率”指标：预期指标值为“100%”，实际完成指标值为“100%”，指标完成率为100%。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综上所述，本指标满分为1分，根据评分标准得1分。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“2023年自治区财政优抚对象补助资金 ”指标：预期指标值为“&lt;=349.65万元”，实际完成指标值为“=349.65万元”，指标完成率为100%。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43DA3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8E865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“有效解决优抚对象生活困难”指标：预期指标值为“有效改善”，实际完成指标值为“基本达成目标”，指标完成率为100.0%。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“享受优抚对象满意度”指标：预期指标值为“≥90%”，实际完成指标值为“100%”，指标完成率为100%。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352E2441">
      <w:pPr>
        <w:spacing w:line="540" w:lineRule="exact"/>
        <w:ind w:firstLine="567"/>
        <w:rPr>
          <w:rStyle w:val="18"/>
          <w:rFonts w:ascii="楷体" w:hAnsi="楷体" w:eastAsia="楷体"/>
          <w:spacing w:val="-4"/>
          <w:sz w:val="32"/>
          <w:szCs w:val="32"/>
        </w:rPr>
      </w:pPr>
    </w:p>
    <w:p w14:paraId="202DFC0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BEF9F9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本项目年初预算资金总额为349.79万元，全年预算数为349.79万元，全年执行数为349.65万元，预算执行率为99.92%。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本项目共设置三级指标数量27个，满分指标数量27个，扣分指标数量0个，经分析计算所有三级指标完成率得出，本项目总体完成率为100%。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w:t>
      </w:r>
    </w:p>
    <w:p w14:paraId="4C80BB8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006921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落实国家优抚政策，吉木萨尔县退役军人事务局通过细化工作措施，规范资金发放流程，确保各类抚恤生活补助资金按时足额发放。一是强化动态管理。通过乡镇上报、入户调查、电话联系、相关部门信息比对等工作措施，及时在优抚对象数据库中对新增和减员情况进行更新，对优抚对象实行动态管理，确保做到对象精准。二是强化政策宣传。通过发放宣传彩页、走访慰问、设立宣传点等方式积极做好各项优抚政策的宣传，特别是针对年龄较大的老年人或行动不便的特殊群体，各乡镇（街道）退役军人服务站组织工作人员进行上门宣传，切实做好各项政策的宣传解释工作。三是强化公开透明。按照相关文件精神核定优抚对象及发放标准，根据上级文件要求，及时对发放标准进行调整，同时要求各乡镇（街道）将优抚资金最新标准在乡镇（街道）进行公示，让每位优抚对象知晓具体领取标准，增加透明度。四是强化资金发放。坚持抚恤生活补助资金专款专用、科学管理，全面实行优抚资金社会化发放，减少中间环节，确保资金发放安全及时、方便快捷，形成了退役军人事务部门、财政部门及金融机构之间的联通联动机制，实现优抚对象一人一卡，确保抚恤补助资金按时足额发放到优抚对象卡中，将党和政府的关心关怀送到优抚对象手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本项目无存在问题。</w:t>
      </w:r>
    </w:p>
    <w:p w14:paraId="0E1ED0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26257A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要强化资金管理，规范资金使用，在工作谋划上合情合理，在资金使用上合法合规，坚决筑牢防线、守好底线，确保各类专项资金高效使用、服务保障措施落实到位。二是要坚持问题导向，抓好整改落实，针对反馈的问题要举一反三，开展全面自查，及时查漏补缺，不留死角盲区。三是要构建层级负责、齐抓共管的工作格局，坚持上下联动、密切配合，推动专项资金规范、有序、阳光运行。</w:t>
      </w:r>
    </w:p>
    <w:p w14:paraId="0E2CA4D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BC5BB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BC9DD32">
      <w:pPr>
        <w:spacing w:line="540" w:lineRule="exact"/>
        <w:ind w:firstLine="567"/>
        <w:rPr>
          <w:rStyle w:val="18"/>
          <w:rFonts w:ascii="仿宋" w:hAnsi="仿宋" w:eastAsia="仿宋"/>
          <w:b w:val="0"/>
          <w:spacing w:val="-4"/>
          <w:sz w:val="32"/>
          <w:szCs w:val="32"/>
        </w:rPr>
      </w:pPr>
    </w:p>
    <w:p w14:paraId="3D88555A">
      <w:pPr>
        <w:spacing w:line="540" w:lineRule="exact"/>
        <w:ind w:firstLine="567"/>
        <w:rPr>
          <w:rStyle w:val="18"/>
          <w:rFonts w:ascii="仿宋" w:hAnsi="仿宋" w:eastAsia="仿宋"/>
          <w:b w:val="0"/>
          <w:spacing w:val="-4"/>
          <w:sz w:val="32"/>
          <w:szCs w:val="32"/>
        </w:rPr>
      </w:pPr>
    </w:p>
    <w:p w14:paraId="441A77A0">
      <w:pPr>
        <w:spacing w:line="540" w:lineRule="exact"/>
        <w:ind w:firstLine="567"/>
        <w:rPr>
          <w:rStyle w:val="18"/>
          <w:rFonts w:ascii="仿宋" w:hAnsi="仿宋" w:eastAsia="仿宋"/>
          <w:b w:val="0"/>
          <w:spacing w:val="-4"/>
          <w:sz w:val="32"/>
          <w:szCs w:val="32"/>
        </w:rPr>
      </w:pPr>
    </w:p>
    <w:p w14:paraId="7FBC5669">
      <w:pPr>
        <w:spacing w:line="540" w:lineRule="exact"/>
        <w:ind w:firstLine="567"/>
        <w:rPr>
          <w:rStyle w:val="18"/>
          <w:rFonts w:ascii="仿宋" w:hAnsi="仿宋" w:eastAsia="仿宋"/>
          <w:b w:val="0"/>
          <w:spacing w:val="-4"/>
          <w:sz w:val="32"/>
          <w:szCs w:val="32"/>
        </w:rPr>
      </w:pPr>
    </w:p>
    <w:p w14:paraId="6DB3848A">
      <w:pPr>
        <w:spacing w:line="540" w:lineRule="exact"/>
        <w:ind w:firstLine="567"/>
        <w:rPr>
          <w:rStyle w:val="18"/>
          <w:rFonts w:ascii="仿宋" w:hAnsi="仿宋" w:eastAsia="仿宋"/>
          <w:b w:val="0"/>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F18D090">
        <w:pPr>
          <w:pStyle w:val="12"/>
          <w:jc w:val="center"/>
        </w:pPr>
        <w:r>
          <w:fldChar w:fldCharType="begin"/>
        </w:r>
        <w:r>
          <w:instrText xml:space="preserve">PAGE   \* MERGEFORMAT</w:instrText>
        </w:r>
        <w:r>
          <w:fldChar w:fldCharType="separate"/>
        </w:r>
        <w:r>
          <w:rPr>
            <w:lang w:val="zh-CN"/>
          </w:rPr>
          <w:t>2</w:t>
        </w:r>
        <w:r>
          <w:fldChar w:fldCharType="end"/>
        </w:r>
      </w:p>
    </w:sdtContent>
  </w:sdt>
  <w:p w14:paraId="606E315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943886"/>
    <w:rsid w:val="0BFB189F"/>
    <w:rsid w:val="11BD75F7"/>
    <w:rsid w:val="13BE561A"/>
    <w:rsid w:val="15392994"/>
    <w:rsid w:val="18FE139B"/>
    <w:rsid w:val="3029612C"/>
    <w:rsid w:val="32A221C5"/>
    <w:rsid w:val="33F20F2A"/>
    <w:rsid w:val="34C44675"/>
    <w:rsid w:val="3B5B5607"/>
    <w:rsid w:val="3CE21B3C"/>
    <w:rsid w:val="4D2606A1"/>
    <w:rsid w:val="51830480"/>
    <w:rsid w:val="51A71087"/>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2025-10-14T10:17:13Z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