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C581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3F02FB9">
      <w:pPr>
        <w:spacing w:line="540" w:lineRule="exact"/>
        <w:jc w:val="center"/>
        <w:rPr>
          <w:rFonts w:ascii="华文中宋" w:hAnsi="华文中宋" w:eastAsia="华文中宋" w:cs="宋体"/>
          <w:b/>
          <w:kern w:val="0"/>
          <w:sz w:val="52"/>
          <w:szCs w:val="52"/>
        </w:rPr>
      </w:pPr>
    </w:p>
    <w:p w14:paraId="11D94F26">
      <w:pPr>
        <w:spacing w:line="540" w:lineRule="exact"/>
        <w:jc w:val="center"/>
        <w:rPr>
          <w:rFonts w:ascii="华文中宋" w:hAnsi="华文中宋" w:eastAsia="华文中宋" w:cs="宋体"/>
          <w:b/>
          <w:kern w:val="0"/>
          <w:sz w:val="52"/>
          <w:szCs w:val="52"/>
        </w:rPr>
      </w:pPr>
    </w:p>
    <w:p w14:paraId="398B6BC2">
      <w:pPr>
        <w:spacing w:line="540" w:lineRule="exact"/>
        <w:jc w:val="center"/>
        <w:rPr>
          <w:rFonts w:ascii="华文中宋" w:hAnsi="华文中宋" w:eastAsia="华文中宋" w:cs="宋体"/>
          <w:b/>
          <w:kern w:val="0"/>
          <w:sz w:val="52"/>
          <w:szCs w:val="52"/>
        </w:rPr>
      </w:pPr>
    </w:p>
    <w:p w14:paraId="29FC5D6F">
      <w:pPr>
        <w:spacing w:line="540" w:lineRule="exact"/>
        <w:jc w:val="center"/>
        <w:rPr>
          <w:rFonts w:ascii="华文中宋" w:hAnsi="华文中宋" w:eastAsia="华文中宋" w:cs="宋体"/>
          <w:b/>
          <w:kern w:val="0"/>
          <w:sz w:val="52"/>
          <w:szCs w:val="52"/>
        </w:rPr>
      </w:pPr>
    </w:p>
    <w:p w14:paraId="1FEB9347">
      <w:pPr>
        <w:spacing w:line="540" w:lineRule="exact"/>
        <w:jc w:val="center"/>
        <w:rPr>
          <w:rFonts w:ascii="华文中宋" w:hAnsi="华文中宋" w:eastAsia="华文中宋" w:cs="宋体"/>
          <w:b/>
          <w:kern w:val="0"/>
          <w:sz w:val="52"/>
          <w:szCs w:val="52"/>
        </w:rPr>
      </w:pPr>
    </w:p>
    <w:p w14:paraId="41381B9B">
      <w:pPr>
        <w:spacing w:line="540" w:lineRule="exact"/>
        <w:jc w:val="center"/>
        <w:rPr>
          <w:rFonts w:ascii="华文中宋" w:hAnsi="华文中宋" w:eastAsia="华文中宋" w:cs="宋体"/>
          <w:b/>
          <w:kern w:val="0"/>
          <w:sz w:val="52"/>
          <w:szCs w:val="52"/>
        </w:rPr>
      </w:pPr>
    </w:p>
    <w:p w14:paraId="7E1E146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w:t>
      </w:r>
      <w:bookmarkStart w:id="0" w:name="_GoBack"/>
      <w:bookmarkEnd w:id="0"/>
      <w:r>
        <w:rPr>
          <w:rFonts w:hint="eastAsia" w:ascii="方正小标宋_GBK" w:hAnsi="华文中宋" w:eastAsia="方正小标宋_GBK" w:cs="宋体"/>
          <w:b/>
          <w:kern w:val="0"/>
          <w:sz w:val="48"/>
          <w:szCs w:val="48"/>
        </w:rPr>
        <w:t>效自评报告</w:t>
      </w:r>
    </w:p>
    <w:p w14:paraId="316534AD">
      <w:pPr>
        <w:spacing w:line="540" w:lineRule="exact"/>
        <w:jc w:val="center"/>
        <w:rPr>
          <w:rFonts w:ascii="华文中宋" w:hAnsi="华文中宋" w:eastAsia="华文中宋" w:cs="宋体"/>
          <w:b/>
          <w:kern w:val="0"/>
          <w:sz w:val="52"/>
          <w:szCs w:val="52"/>
        </w:rPr>
      </w:pPr>
    </w:p>
    <w:p w14:paraId="186A2C4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27B378C">
      <w:pPr>
        <w:spacing w:line="540" w:lineRule="exact"/>
        <w:jc w:val="center"/>
        <w:rPr>
          <w:rFonts w:hAnsi="宋体" w:eastAsia="仿宋_GB2312" w:cs="宋体"/>
          <w:kern w:val="0"/>
          <w:sz w:val="30"/>
          <w:szCs w:val="30"/>
        </w:rPr>
      </w:pPr>
    </w:p>
    <w:p w14:paraId="1B10A011">
      <w:pPr>
        <w:spacing w:line="540" w:lineRule="exact"/>
        <w:jc w:val="center"/>
        <w:rPr>
          <w:rFonts w:hAnsi="宋体" w:eastAsia="仿宋_GB2312" w:cs="宋体"/>
          <w:kern w:val="0"/>
          <w:sz w:val="30"/>
          <w:szCs w:val="30"/>
        </w:rPr>
      </w:pPr>
    </w:p>
    <w:p w14:paraId="0A1EC234">
      <w:pPr>
        <w:spacing w:line="540" w:lineRule="exact"/>
        <w:jc w:val="center"/>
        <w:rPr>
          <w:rFonts w:hAnsi="宋体" w:eastAsia="仿宋_GB2312" w:cs="宋体"/>
          <w:kern w:val="0"/>
          <w:sz w:val="30"/>
          <w:szCs w:val="30"/>
        </w:rPr>
      </w:pPr>
    </w:p>
    <w:p w14:paraId="5580F756">
      <w:pPr>
        <w:spacing w:line="540" w:lineRule="exact"/>
        <w:jc w:val="center"/>
        <w:rPr>
          <w:rFonts w:hAnsi="宋体" w:eastAsia="仿宋_GB2312" w:cs="宋体"/>
          <w:kern w:val="0"/>
          <w:sz w:val="30"/>
          <w:szCs w:val="30"/>
        </w:rPr>
      </w:pPr>
    </w:p>
    <w:p w14:paraId="18274535">
      <w:pPr>
        <w:spacing w:line="540" w:lineRule="exact"/>
        <w:jc w:val="center"/>
        <w:rPr>
          <w:rFonts w:hAnsi="宋体" w:eastAsia="仿宋_GB2312" w:cs="宋体"/>
          <w:kern w:val="0"/>
          <w:sz w:val="30"/>
          <w:szCs w:val="30"/>
        </w:rPr>
      </w:pPr>
    </w:p>
    <w:p w14:paraId="38595E11">
      <w:pPr>
        <w:spacing w:line="540" w:lineRule="exact"/>
        <w:jc w:val="center"/>
        <w:rPr>
          <w:rFonts w:hAnsi="宋体" w:eastAsia="仿宋_GB2312" w:cs="宋体"/>
          <w:kern w:val="0"/>
          <w:sz w:val="30"/>
          <w:szCs w:val="30"/>
        </w:rPr>
      </w:pPr>
    </w:p>
    <w:p w14:paraId="3542446B">
      <w:pPr>
        <w:spacing w:line="540" w:lineRule="exact"/>
        <w:rPr>
          <w:rFonts w:hAnsi="宋体" w:eastAsia="仿宋_GB2312" w:cs="宋体"/>
          <w:kern w:val="0"/>
          <w:sz w:val="30"/>
          <w:szCs w:val="30"/>
        </w:rPr>
      </w:pPr>
    </w:p>
    <w:p w14:paraId="081BA6B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9CC441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2023年政府预算纪检监察信息员经费</w:t>
      </w:r>
    </w:p>
    <w:p w14:paraId="2C65266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吉木萨尔县纪检委本级</w:t>
      </w:r>
    </w:p>
    <w:p w14:paraId="67AAF29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吉木萨尔县纪检委本级</w:t>
      </w:r>
    </w:p>
    <w:p w14:paraId="541AC98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唐万万</w:t>
      </w:r>
    </w:p>
    <w:p w14:paraId="529155B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2024年03月12日</w:t>
      </w:r>
    </w:p>
    <w:p w14:paraId="2B8D3A9B">
      <w:pPr>
        <w:spacing w:line="700" w:lineRule="exact"/>
        <w:ind w:firstLine="708" w:firstLineChars="236"/>
        <w:jc w:val="left"/>
        <w:rPr>
          <w:rFonts w:hAnsi="宋体" w:eastAsia="仿宋_GB2312" w:cs="宋体"/>
          <w:kern w:val="0"/>
          <w:sz w:val="30"/>
          <w:szCs w:val="30"/>
        </w:rPr>
      </w:pPr>
    </w:p>
    <w:p w14:paraId="0E4B2C78">
      <w:pPr>
        <w:spacing w:line="540" w:lineRule="exact"/>
        <w:rPr>
          <w:rStyle w:val="18"/>
          <w:rFonts w:ascii="黑体" w:hAnsi="黑体" w:eastAsia="黑体"/>
          <w:b w:val="0"/>
          <w:spacing w:val="-4"/>
          <w:sz w:val="32"/>
          <w:szCs w:val="32"/>
        </w:rPr>
      </w:pPr>
    </w:p>
    <w:p w14:paraId="2083E6E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DC88B02">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A40BE2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为确保监督工作的顺利开展，按照自治区纪委印发的《县（市、区）监察委员会派出乡镇（街道）监察办公室聘任村（社区）监察信息员管理制度（试行）》，按照中共昌吉州纪委办公室下发《关于印发&lt;昌吉州县（市）监察委员会派出乡镇（街道）监察办公室聘任监察信息员管理制度（试行）&gt;,&lt; 昌吉州村（社区）监察信息员监督清单（试行）&gt;&lt;昌吉州村（社区）监察信息员履职流程图&gt;的通知》（昌州纪办发【2021】20号）第六章关于经费保障要求监察信息员每人每年工作经费不低于2000元。2023年按照区州纪委监委的要求，通过指定、聘任等形式，在68个村（社区）设监察信息员425名，2023年预算项目资金85.00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（1）项目名称：2023年政府预算纪检监察信息员经费（以下简称“该项目”或“项目”）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为确保监督工作的顺利开展，按照自治区纪委印发的《县（市、区）监察委员会派出乡镇（街道）监察办公室聘任村（社区）监察信息员管理制度（试行）》，经费保障要求监察信息员每人每年工作经费不低于2000元。2023年按照区州纪委监委的要求，通过指定、聘任等形式，在68个村（社区）设监察信息员425名，2023年预算项目资金85.00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实施主体：中共吉木萨尔县纪律检查委员会。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吉木萨尔县纪委监委根据昌吉州县市监察委员派出乡镇街道监察委员会办公室聘任监察信息员管理制度文件要求，2023年纪委组织部根据乡镇考核汇总后交财务室财政直接支付银行代发到监察信息员，2023年7月、12月分2次发放纪检监察信息员工资，共发放42万元，极大地提高了监察信息员的积极性，为纪检监察工作提供信息，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吉木萨尔县纪律检查委员会与吉木萨尔县监察委员会合署办公，一套工作机构、两个机关名称，分别在县委和州纪委、监委的双重领导下进行工作，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监察委员会主要职能是维护宪法和法律法规权威；依法监察公职人员行驶公权利的情况，调查职务违法和职务犯罪；开展廉政建设和反腐败工作，履行监督、调查、处置职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吉木萨尔县纪律检查委员下设12个职能部室，分别为：办公室、组织部、宣传部、党风政风监督室、信访室、案件监督管理室、第一纪检监察室、第二纪检监察室、第三纪检监察室、第四纪检监察室、案件审理室、纪检监察干部监督室；设立派驻（派出）纪检监察组共7个，吉木萨尔县纪委监委审查调查中心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2023年吉木萨尔县纪检委编制数125人（其中巡办13人，行政工勤编制2名）。实有人数109人，其中：在职105人，离休1人,增加0人，其他人员3人。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本项目预算安排总额为85.00万元，资金来源为85.00万元，其中：财政资金85.00万元，其他资金0万元，2023年实际收到预算资金85.00万元，预算资金到位率为100%。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截至2023年12月31日，本项目实际支付资金42.00万元，预算执行率49.41%。本项目资金主要用于支付监察信息员工作经费42万元。</w:t>
      </w:r>
    </w:p>
    <w:p w14:paraId="5953029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C58037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吉木萨尔县纪委监委根据昌吉州县市监察委员派出乡镇街道监察委员会办公室聘任监察信息员管理制度文件要求，2023年纪委组织部根据乡镇考核汇总后交财务室财政直接支付银行代发到监察信息员，2023年7月、12月分2次发放纪检监察信息员工资，共发放42万元，极大地提高了监察信息员的积极性，为纪检监察工作提供信息，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“监察信息员人数”指标，预期指标值为“≦425人”；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“监察信息员考核合格率”指标，预期指标值为“=100%”；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“监察信息员补助发放覆盖率”指标，预期指标值为“=100%”；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“监察信息员补助发放次数”指标，预期指标值为“≧2次”；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“监察信息员工作经费发放及时率”指标，预期指标值为“=100%”；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“监察信息员工作经费补助标准”指标，预期指标值为“≦2000元”；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“推动监察职能向基层延伸，加强基层基层工作，实现监察全覆盖”指标，预期指标值为“有效提升”；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“监察信息员满意度”指标，预期指标值为“≧90%”。</w:t>
      </w:r>
    </w:p>
    <w:p w14:paraId="4761748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CF17FF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869873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此次我单位根据《财政支出绩效评价管理暂行办法》（财预〔2020〕10号）文件要求实施评价工作，本次评价对象为2023年政府预算纪检监察信息员经费，评价核心为项目资金、项目产出、项目效益、项目满意度。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（12）昌州财行[2023]33号关于调整下达纪委监委协作办案经费的通知；</w:t>
      </w:r>
    </w:p>
    <w:p w14:paraId="6D01A33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BE3CA5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4E5C86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E3F8D1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我单位于2024年3月11日，确定绩效评价工作小组，正式开始前期准备工作，通过对评价对象前期调研，项目满意度。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唐万万（评价小组组长）：主要负责项目策划和监督，全面负责项目绩效评价办稿的最终质量，对评估人员出具的最终报告质量进行复核，确保评估结果的客观性；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张志锋（评价小组组员）：主要负责资料的收集，取证、数据统计分析；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罗玉霞（评价小组组员）：主要负责主要负责项目报告的制定，指标的研判，数据分析及报告撰写。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2024年3月11日-3月18日，评价工作进入实施阶段。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经调研了解，该项目主要受益群体包括263人。我们根据绩效评价目标和绩效指标体系，设计满意度调查问卷进行问卷调查，其中263人受益对象共选取样本263人，共发放问卷263份，最终收回263份。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2024年3月11日-3月18日，评价小组按照绩效评价的原则和规范，对取得的资料进行审查核实，对采集的数据进行分析，按照绩效评价指标评分表逐项进行打分、分析、汇总各方评价结果。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2024年3月18日-3月22日，评价小组撰写绩效评价报告，按照新疆维吾尔自治区财政绩效管理信息系统绩效评价模块中统一格式和文本框架撰写绩效评价报告并提交审核。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9C5E64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E2C00A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项目部分达成年初设立的绩效目标，在实施过程中取得了良好的成效，具体表现在：为确保监督工作的顺利开展，按照自治区印发的《县（市、区）监察委员会派出乡镇（街道）监察办公室聘任村（社区）监察信息员管理制度（试行）》第六章第十二条关于经费保障的要求，2023年将村（社区）监察信息员工作经费纳入财政预算85万元，通过项目的实施，完成了7项产出目标，发挥了较好的效益。但在实施过程中也存在一些不足：因2023年村（社区）监察信息员变动较大，人员未达到425人，根据乡镇制定的考核细则，监察信息员工资未达到2000元，监察信息员提供线索数量不多，导致资金支付进度偏低，影响监察信息员工作经费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17个，总体完成率为93.9%。最终评分结果：总分为86.40分，绩效评级为“良”。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过程管理类指标共设置5个，满分指标4个，得分率73.7%；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项目产出类指标共设置6个，满分指标5个，得分率83.33%；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50420D9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090DE3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B53C5F5">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根据《关于县（市、区）监察委员会向乡镇（街道）派出监察办公室的通知》（新纪办发【2018】67号）、《关于县（市）监察委员会向乡镇（街道）派出监察办公室实施方案》（昌州党办发【2018】93号）文件要求，符合行业发展规划和政策要求；属于我单位履职所需；根据《财政资金直接支付申请书》，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结合项目实际，准确分析项目立项的时间，所履行的程序，以及形成的立项依据文件，以及实施过程已经过必要的可行性研究、专家论证、风险评估、绩效评估、集体决策等。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①该项目已设置年度绩效目标，具体内容为:2023年将村（社区）监察信息员人425人，及时发发放工作经费纳入85万元。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为确保监督工作的顺利开展，按照自治区印发的《县（市、区）监察委员会派出乡镇（街道）监察办公室聘任村（社区）监察信息员管理制度（试行）》第六章第十二条关于经费保障的要求，2023年将村（社区）监察信息员工作经费纳入财政预算85万元，实际发放2次，共42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③该项目按照绩效目标完成哪些具体的产出工作（结合数量指标、质量指标、时效指标、成本指标进行描述），完成了基本任务，达到预定效益，预期产出效益和效果是否符合正常的业绩水平。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④该项目批复的预算金额为85.00万元，《项目支出绩效及目标表》预定中预算金额为85.00万元，预算确定的项目资金与预算确定的项目投资额相匹配。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本项目2023年政府预算纪检监察信息员经费，即预算编制较科学且经过论证；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本项目预算申请内容为2023年政府预算纪检监察信息员经费，项目实际内容为2023年政府预算纪检监察信息员经费，预算申请与《2023年政府预算纪检监察信息员经费项目实施方案》中涉及的项目内容匹配；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85.00万元，我单位在预算申请中严格按照项目实施内容及测算标准进行核算，其中：监察信息员工资85万元。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①本项目实际分配资金以年初预算则填年初部门预算批复文件，为依据进行资金分配，预算资金分配依据充分。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②根据年初部门预算批复文件文件显示，本项目实际到位资金42万元，实际分配资金与我单位提交申请的资金额度一致，资金分配额度合理，与我单位实际需求相适应。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76AB68F8">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B3A489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年初部门预算批复文件，本项目预算资金为85.00万元，实际到位资金85.00万元，资金到位率100%。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2023年12月底，本项目实际支出资金42万元，预算执行率49.4%。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纪委监委单位资金管理办法》《吉木萨尔县纪委监委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纪委监委资金管理办法》、《吉木萨尔县纪委监委收支业务管理制度》、《吉木萨尔县纪委监委政府采购业务管理制度》、《吉木萨尔县纪委监委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纪委监委财务管理办法》《吉木萨尔县纪委监委采购业务管理制度》《吉木萨尔县纪委监委合同管理制度》等相关法律法规及管理规定，项目具备完整规范的立项程序；经查证项目实施过程资料，项目采购、实施、验收等过程均按照采购管理办法和合同管理办法等相关制度执行，基本完成既定目标；经查证纪委常委会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3F1AC23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AADF86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项目产出类指标由4个二级指标和6个三级指标构成，权重分30.0分，实际得分21.4分。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人数”指标：预期指标值为“≥425人”，实际完成指标值为“263人”，指标完成率为61.9%。偏差率为38.2%，偏差原因主要为：因2023年村（社区）监察信息员变动较大，人员未达到425人，根据乡镇制定的考核细则，监察信息员工资未达到2000元，监察信息员提供线索数量不多，导致资金支付进度偏低，影响监察信息员工作经费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综上所述，本指标满分为9分，根据评分标准得0.4分。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“监察信息员考核合格率”指标：预期指标值为“100%”，实际完成指标值为“100%”，指标完成率为100%。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“监察信息员补助发放覆盖率”指标：预期指标值为“100%”，实际完成指标值为“100%”，指标完成率为100%。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“监察信息员补助发放次数”指标：预期指标值为“2次”，实际完成指标值为“2次”，指标完成率为100%。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“监察信息员工作经费发放及时率”指标：预期指标值为“100%”，实际完成指标值为“100%”，指标完成率为100%。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“监察信息员工作经费补助标准”指标，预期指标值为“≦2000元”，实际完成指标值为“=850元”，指标完成率为100%。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7F27E66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48AA1D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“推动监察职能向基层延伸，加强基层基础工作，实现监察全覆盖”，指标：预期指标值为“有效提升”，实际完成指标值为“基本达成目标”，指标完成率为100%。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“监察信息员满意度”指标：预期指标值为“≧90%”，实际完成指标值为“=100%”，指标完成率为100%。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p>
    <w:p w14:paraId="78FB0E88">
      <w:pPr>
        <w:spacing w:line="540" w:lineRule="exact"/>
        <w:ind w:firstLine="567"/>
        <w:rPr>
          <w:rStyle w:val="18"/>
          <w:rFonts w:ascii="楷体" w:hAnsi="楷体" w:eastAsia="楷体"/>
          <w:spacing w:val="-4"/>
          <w:sz w:val="32"/>
          <w:szCs w:val="32"/>
        </w:rPr>
      </w:pPr>
    </w:p>
    <w:p w14:paraId="2353B95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F2EA164">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本项目年初预算资金总额为85.00万元，全年预算数为85.00万元，全年执行数为42.00万元，预算执行率为49.4%。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本项目共设置三级指标数量19个，满分指标数量17个，扣分指标数量2个，经分析计算所有三级指标完成率得出，本项目总体完成率为93.9%。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50.6%。主要偏差原因是：因2023年村（社区）监察信息员变动较大，人员未达到425人，根据乡镇制定的考核细则，监察信息员工资未达到2000元，监察信息员提供线索数量不多，导致资金支付进度偏低，影响监察信息员工作经费绩效目标实现程度。</w:t>
      </w:r>
    </w:p>
    <w:p w14:paraId="7FF6781A">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580368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本项目年初预算资金总额为85.00万元，全年预算数为85.00万元，全年执行数为42.00万元，预算执行率为49.4%。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本项目共设置三级指标数量19个，满分指标数量17个，扣分指标数量2个，经分析计算所有三级指标完成率得出，本项目总体完成率为93.9%。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50.6%。主要偏差原因是：因2023年村（社区）监察信息员变动较大，人员未达到425人，根据乡镇制定的考核细则，监察信息员工资未达到2000元，监察信息员提供线索数量不多，导致资金支付进度偏低，影响监察信息员工作经费绩效目标实现程度。</w:t>
      </w:r>
    </w:p>
    <w:p w14:paraId="32026C7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2076202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绩效工作过于繁杂，没有相对固定的人员进行管理，项目目标、监控、评价等工作填报有难度。</w:t>
      </w:r>
    </w:p>
    <w:p w14:paraId="4E67C04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6746DA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776255F6">
      <w:pPr>
        <w:spacing w:line="540" w:lineRule="exact"/>
        <w:ind w:firstLine="567"/>
        <w:rPr>
          <w:rStyle w:val="18"/>
          <w:rFonts w:ascii="仿宋" w:hAnsi="仿宋" w:eastAsia="仿宋"/>
          <w:b w:val="0"/>
          <w:spacing w:val="-4"/>
          <w:sz w:val="32"/>
          <w:szCs w:val="32"/>
        </w:rPr>
      </w:pPr>
    </w:p>
    <w:p w14:paraId="379D43E4">
      <w:pPr>
        <w:spacing w:line="540" w:lineRule="exact"/>
        <w:ind w:firstLine="567"/>
        <w:rPr>
          <w:rStyle w:val="18"/>
          <w:rFonts w:ascii="仿宋" w:hAnsi="仿宋" w:eastAsia="仿宋"/>
          <w:b w:val="0"/>
          <w:spacing w:val="-4"/>
          <w:sz w:val="32"/>
          <w:szCs w:val="32"/>
        </w:rPr>
      </w:pPr>
    </w:p>
    <w:p w14:paraId="693741C1">
      <w:pPr>
        <w:spacing w:line="540" w:lineRule="exact"/>
        <w:ind w:firstLine="567"/>
        <w:rPr>
          <w:rStyle w:val="18"/>
          <w:rFonts w:ascii="仿宋" w:hAnsi="仿宋" w:eastAsia="仿宋"/>
          <w:b w:val="0"/>
          <w:spacing w:val="-4"/>
          <w:sz w:val="32"/>
          <w:szCs w:val="32"/>
        </w:rPr>
      </w:pPr>
    </w:p>
    <w:p w14:paraId="4D5C0BF3">
      <w:pPr>
        <w:spacing w:line="540" w:lineRule="exact"/>
        <w:ind w:firstLine="567"/>
        <w:rPr>
          <w:rStyle w:val="18"/>
          <w:rFonts w:ascii="仿宋" w:hAnsi="仿宋" w:eastAsia="仿宋"/>
          <w:b w:val="0"/>
          <w:spacing w:val="-4"/>
          <w:sz w:val="32"/>
          <w:szCs w:val="32"/>
        </w:rPr>
      </w:pPr>
    </w:p>
    <w:p w14:paraId="3D881BE7">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7F6426-D299-4601-87B8-D126F9215A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BA2D6A1-977A-4B13-937A-889AC306A6A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19260BFA-8357-4E0C-86E5-D5835745C13A}"/>
  </w:font>
  <w:font w:name="华文中宋">
    <w:panose1 w:val="02010600040101010101"/>
    <w:charset w:val="86"/>
    <w:family w:val="auto"/>
    <w:pitch w:val="default"/>
    <w:sig w:usb0="00000287" w:usb1="080F0000" w:usb2="00000000" w:usb3="00000000" w:csb0="0004009F" w:csb1="DFD70000"/>
    <w:embedRegular r:id="rId4" w:fontKey="{323990B5-4E14-49AF-A657-D0F7576F0981}"/>
  </w:font>
  <w:font w:name="方正小标宋_GBK">
    <w:panose1 w:val="02000000000000000000"/>
    <w:charset w:val="86"/>
    <w:family w:val="script"/>
    <w:pitch w:val="default"/>
    <w:sig w:usb0="A00002BF" w:usb1="38CF7CFA" w:usb2="00082016" w:usb3="00000000" w:csb0="00040001" w:csb1="00000000"/>
    <w:embedRegular r:id="rId5" w:fontKey="{11065049-7606-4FCC-92AF-DEF73E325CA0}"/>
  </w:font>
  <w:font w:name="仿宋_GB2312">
    <w:panose1 w:val="02010609030101010101"/>
    <w:charset w:val="86"/>
    <w:family w:val="modern"/>
    <w:pitch w:val="default"/>
    <w:sig w:usb0="00000001" w:usb1="080E0000" w:usb2="00000000" w:usb3="00000000" w:csb0="00040000" w:csb1="00000000"/>
    <w:embedRegular r:id="rId6" w:fontKey="{3C277694-0FB9-416A-981E-4EF8CC9618AA}"/>
  </w:font>
  <w:font w:name="楷体">
    <w:panose1 w:val="02010609060101010101"/>
    <w:charset w:val="86"/>
    <w:family w:val="modern"/>
    <w:pitch w:val="default"/>
    <w:sig w:usb0="800002BF" w:usb1="38CF7CFA" w:usb2="00000016" w:usb3="00000000" w:csb0="00040001" w:csb1="00000000"/>
    <w:embedRegular r:id="rId7" w:fontKey="{3ACD0F72-3510-4948-A2F3-134C7F73928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6EDEC8F">
        <w:pPr>
          <w:pStyle w:val="12"/>
          <w:jc w:val="center"/>
        </w:pPr>
        <w:r>
          <w:fldChar w:fldCharType="begin"/>
        </w:r>
        <w:r>
          <w:instrText xml:space="preserve">PAGE   \* MERGEFORMAT</w:instrText>
        </w:r>
        <w:r>
          <w:fldChar w:fldCharType="separate"/>
        </w:r>
        <w:r>
          <w:rPr>
            <w:lang w:val="zh-CN"/>
          </w:rPr>
          <w:t>2</w:t>
        </w:r>
        <w:r>
          <w:fldChar w:fldCharType="end"/>
        </w:r>
      </w:p>
    </w:sdtContent>
  </w:sdt>
  <w:p w14:paraId="59BFCD5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8E502B0"/>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10862</Words>
  <Characters>11494</Characters>
  <Lines>4</Lines>
  <Paragraphs>1</Paragraphs>
  <TotalTime>2</TotalTime>
  <ScaleCrop>false</ScaleCrop>
  <LinksUpToDate>false</LinksUpToDate>
  <CharactersWithSpaces>11512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2025-10-16T04:43:29Z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