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66B5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8ECBA2E">
      <w:pPr>
        <w:spacing w:line="540" w:lineRule="exact"/>
        <w:jc w:val="center"/>
        <w:rPr>
          <w:rFonts w:ascii="华文中宋" w:hAnsi="华文中宋" w:eastAsia="华文中宋" w:cs="宋体"/>
          <w:b/>
          <w:kern w:val="0"/>
          <w:sz w:val="52"/>
          <w:szCs w:val="52"/>
        </w:rPr>
      </w:pPr>
    </w:p>
    <w:p w14:paraId="399E3469">
      <w:pPr>
        <w:spacing w:line="540" w:lineRule="exact"/>
        <w:jc w:val="center"/>
        <w:rPr>
          <w:rFonts w:ascii="华文中宋" w:hAnsi="华文中宋" w:eastAsia="华文中宋" w:cs="宋体"/>
          <w:b/>
          <w:kern w:val="0"/>
          <w:sz w:val="52"/>
          <w:szCs w:val="52"/>
        </w:rPr>
      </w:pPr>
    </w:p>
    <w:p w14:paraId="759616AE">
      <w:pPr>
        <w:spacing w:line="540" w:lineRule="exact"/>
        <w:jc w:val="center"/>
        <w:rPr>
          <w:rFonts w:ascii="华文中宋" w:hAnsi="华文中宋" w:eastAsia="华文中宋" w:cs="宋体"/>
          <w:b/>
          <w:kern w:val="0"/>
          <w:sz w:val="52"/>
          <w:szCs w:val="52"/>
        </w:rPr>
      </w:pPr>
    </w:p>
    <w:p w14:paraId="46C2B503">
      <w:pPr>
        <w:spacing w:line="540" w:lineRule="exact"/>
        <w:jc w:val="center"/>
        <w:rPr>
          <w:rFonts w:ascii="华文中宋" w:hAnsi="华文中宋" w:eastAsia="华文中宋" w:cs="宋体"/>
          <w:b/>
          <w:kern w:val="0"/>
          <w:sz w:val="52"/>
          <w:szCs w:val="52"/>
        </w:rPr>
      </w:pPr>
    </w:p>
    <w:p w14:paraId="4E0DA189">
      <w:pPr>
        <w:spacing w:line="540" w:lineRule="exact"/>
        <w:jc w:val="center"/>
        <w:rPr>
          <w:rFonts w:ascii="华文中宋" w:hAnsi="华文中宋" w:eastAsia="华文中宋" w:cs="宋体"/>
          <w:b/>
          <w:kern w:val="0"/>
          <w:sz w:val="52"/>
          <w:szCs w:val="52"/>
        </w:rPr>
      </w:pPr>
    </w:p>
    <w:p w14:paraId="658350E8">
      <w:pPr>
        <w:spacing w:line="540" w:lineRule="exact"/>
        <w:jc w:val="center"/>
        <w:rPr>
          <w:rFonts w:ascii="华文中宋" w:hAnsi="华文中宋" w:eastAsia="华文中宋" w:cs="宋体"/>
          <w:b/>
          <w:kern w:val="0"/>
          <w:sz w:val="52"/>
          <w:szCs w:val="52"/>
        </w:rPr>
      </w:pPr>
    </w:p>
    <w:p w14:paraId="08014B2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w:t>
      </w:r>
      <w:bookmarkStart w:id="0" w:name="_GoBack"/>
      <w:bookmarkEnd w:id="0"/>
      <w:r>
        <w:rPr>
          <w:rFonts w:hint="eastAsia" w:ascii="方正小标宋_GBK" w:hAnsi="华文中宋" w:eastAsia="方正小标宋_GBK" w:cs="宋体"/>
          <w:b/>
          <w:kern w:val="0"/>
          <w:sz w:val="48"/>
          <w:szCs w:val="48"/>
        </w:rPr>
        <w:t>目支出绩效自评报告</w:t>
      </w:r>
    </w:p>
    <w:p w14:paraId="27048FD1">
      <w:pPr>
        <w:spacing w:line="540" w:lineRule="exact"/>
        <w:jc w:val="center"/>
        <w:rPr>
          <w:rFonts w:ascii="华文中宋" w:hAnsi="华文中宋" w:eastAsia="华文中宋" w:cs="宋体"/>
          <w:b/>
          <w:kern w:val="0"/>
          <w:sz w:val="52"/>
          <w:szCs w:val="52"/>
        </w:rPr>
      </w:pPr>
    </w:p>
    <w:p w14:paraId="702233C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D857827">
      <w:pPr>
        <w:spacing w:line="540" w:lineRule="exact"/>
        <w:jc w:val="center"/>
        <w:rPr>
          <w:rFonts w:hAnsi="宋体" w:eastAsia="仿宋_GB2312" w:cs="宋体"/>
          <w:kern w:val="0"/>
          <w:sz w:val="30"/>
          <w:szCs w:val="30"/>
        </w:rPr>
      </w:pPr>
    </w:p>
    <w:p w14:paraId="22625538">
      <w:pPr>
        <w:spacing w:line="540" w:lineRule="exact"/>
        <w:jc w:val="center"/>
        <w:rPr>
          <w:rFonts w:hAnsi="宋体" w:eastAsia="仿宋_GB2312" w:cs="宋体"/>
          <w:kern w:val="0"/>
          <w:sz w:val="30"/>
          <w:szCs w:val="30"/>
        </w:rPr>
      </w:pPr>
    </w:p>
    <w:p w14:paraId="2676D3EC">
      <w:pPr>
        <w:spacing w:line="540" w:lineRule="exact"/>
        <w:jc w:val="center"/>
        <w:rPr>
          <w:rFonts w:hAnsi="宋体" w:eastAsia="仿宋_GB2312" w:cs="宋体"/>
          <w:kern w:val="0"/>
          <w:sz w:val="30"/>
          <w:szCs w:val="30"/>
        </w:rPr>
      </w:pPr>
    </w:p>
    <w:p w14:paraId="77196683">
      <w:pPr>
        <w:spacing w:line="540" w:lineRule="exact"/>
        <w:jc w:val="center"/>
        <w:rPr>
          <w:rFonts w:hAnsi="宋体" w:eastAsia="仿宋_GB2312" w:cs="宋体"/>
          <w:kern w:val="0"/>
          <w:sz w:val="30"/>
          <w:szCs w:val="30"/>
        </w:rPr>
      </w:pPr>
    </w:p>
    <w:p w14:paraId="4B155A21">
      <w:pPr>
        <w:spacing w:line="540" w:lineRule="exact"/>
        <w:jc w:val="center"/>
        <w:rPr>
          <w:rFonts w:hAnsi="宋体" w:eastAsia="仿宋_GB2312" w:cs="宋体"/>
          <w:kern w:val="0"/>
          <w:sz w:val="30"/>
          <w:szCs w:val="30"/>
        </w:rPr>
      </w:pPr>
    </w:p>
    <w:p w14:paraId="0C31EF10">
      <w:pPr>
        <w:spacing w:line="540" w:lineRule="exact"/>
        <w:jc w:val="center"/>
        <w:rPr>
          <w:rFonts w:hAnsi="宋体" w:eastAsia="仿宋_GB2312" w:cs="宋体"/>
          <w:kern w:val="0"/>
          <w:sz w:val="30"/>
          <w:szCs w:val="30"/>
        </w:rPr>
      </w:pPr>
    </w:p>
    <w:p w14:paraId="46BCC1FA">
      <w:pPr>
        <w:spacing w:line="540" w:lineRule="exact"/>
        <w:rPr>
          <w:rFonts w:hAnsi="宋体" w:eastAsia="仿宋_GB2312" w:cs="宋体"/>
          <w:kern w:val="0"/>
          <w:sz w:val="30"/>
          <w:szCs w:val="30"/>
        </w:rPr>
      </w:pPr>
    </w:p>
    <w:p w14:paraId="12A5397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2FD609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吉木萨尔北庭工业园区管理委员会吉县党财办【2023】2号申请配套基础设施改造提升项目建设费用</w:t>
      </w:r>
    </w:p>
    <w:p w14:paraId="605BDEB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吉木萨尔县工业园区管理委员会</w:t>
      </w:r>
    </w:p>
    <w:p w14:paraId="73FE99F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吉木萨尔县工业园区管理委员会</w:t>
      </w:r>
    </w:p>
    <w:p w14:paraId="1C9B28D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李发超</w:t>
      </w:r>
    </w:p>
    <w:p w14:paraId="02EFC8B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14:paraId="2D967AE6">
      <w:pPr>
        <w:spacing w:line="700" w:lineRule="exact"/>
        <w:ind w:firstLine="708" w:firstLineChars="236"/>
        <w:jc w:val="left"/>
        <w:rPr>
          <w:rFonts w:hAnsi="宋体" w:eastAsia="仿宋_GB2312" w:cs="宋体"/>
          <w:kern w:val="0"/>
          <w:sz w:val="30"/>
          <w:szCs w:val="30"/>
        </w:rPr>
      </w:pPr>
    </w:p>
    <w:p w14:paraId="0D1159CC">
      <w:pPr>
        <w:spacing w:line="540" w:lineRule="exact"/>
        <w:rPr>
          <w:rStyle w:val="18"/>
          <w:rFonts w:ascii="黑体" w:hAnsi="黑体" w:eastAsia="黑体"/>
          <w:b w:val="0"/>
          <w:spacing w:val="-4"/>
          <w:sz w:val="32"/>
          <w:szCs w:val="32"/>
        </w:rPr>
      </w:pPr>
    </w:p>
    <w:p w14:paraId="00754FC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A95347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53B0C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根据《吉木萨尔县盘活闲置低效国有资产促进产业高质量的优惠政策》（吉县政发规〔2022〕6号）以及政府专题会会议纪要（第33期），通过拍卖获得新疆天成达建材有限公司全部资产。为加快闲置低效国有资产盘活，吸引招商引资企业落地，计划对新疆天成达建材有限公司厂区内进行消防设施改造，提升配套基础设施建设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（1）项目名称：吉木萨尔北庭工业园区管理位委员会吉县党办【2023】2号申请配套基础设施改造提升项目建设费用（以下简称“该项目”或“项目”）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（2）项目主要内容：完善消防设施建设，新建200立方米混凝土消防池、消防增压泵2台，室内外管网长度4905米。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实施主体：吉木萨尔北庭工业园区管理委员会。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于2023年1月与新疆正祥建设工程项目管理咨询有限公司签订招标控制价编制合同，合同约定金额1.8万元。该项目于2023年2月5日与新疆众志创业市政工程有限公司签订施工合同，合同价为285.1万元，项目于2023年4月1日开工建设，2023年4月30日完成建设。2023年5月成功引进新疆冷井热能科技装备制造有限公司落地，该项目顺利投入使用，实现了闲置低效国有资产盘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概述项目实施主体的主要职能和机构设置情况。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本单位主要负责编制园区发展规划、制定招商引资优惠政策、提供投资服务、建设和管理园区基础设施营造投资软环境。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吉木萨尔北庭工业园区管理委员会无下属预算单位，下设4个科室，分别是：党政综合办公室、产业发展科、规划建设环保科、社会发展科。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本项目预算安排总额为229.80万元，资金来源为县级财政资金，其中：财政资金229.80万元，其他资金0.00万元，2023年实际收到预算资金229.80万元，预算资金到位率为100.0%。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截至2023年12月31日，本项目实际支付资金229.80万元，预算执行率100.0%。本项目资金主要用于支付项目工程款费用228.00万元、控制价编制费用1.80万元。</w:t>
      </w:r>
    </w:p>
    <w:p w14:paraId="492EBCB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17CE2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新疆天成达建材有限公司厂房消防设施进行改造完善，新建200立方米混凝土消防水池、消防增压泵2台、室内外管网长度4905米。工程建设按期完成，工程质量合格率达到100%，项目建设工程款及控制价编制费用共计229.8万元，资金保障率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“消防设备购置数（个）”指标，预期指标值为“=2个”；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“新建室内外管网长度（米）”指标，预期指标值为“=4905米”；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“项目完成时间”指标，预期指标值为“预计2023年12月31日前”；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“吉木萨尔北庭工业园区配套基础设施改造提升项目实施费用（万元）”指标，预期指标值为“=229.80万元”；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“加大招商引资企业落地，增加县财政收入”指标，预期指标值为“有效增加”；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“受益企业满意度（%）”指标，预期指标值为“&gt;=90%”。</w:t>
      </w:r>
    </w:p>
    <w:p w14:paraId="05324E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C6E85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04CD7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北庭工业园区管理位委员会吉县党办【2023】2号申请配套基础设施改造提升项目建设费用，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（12）《吉木萨尔县实施预算绩效管理工作考核暂行办法》；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（13）《新疆维吾尔自治区地方政府专项债券项目资金绩效管理办法》</w:t>
      </w:r>
    </w:p>
    <w:p w14:paraId="101C8BA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85AE9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9A9CC2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AAEC2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全晓龙（评价小组组长）：主要负责项目策划和监督，全面负责项目绩效评价办稿的最终质量，对评估人员出具的最终报告质量进行复核，确保评估结果的客观性；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阿曼尼沙（评价小组组员）：主要负责资料的收集，取证、数据统计分析；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吴涛（评价小组组员）：主要负责主要负责项目报告的制定，指标的研判，数据分析及报告撰写。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2024年3月7日-3月12日，评价工作进入实施阶段。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工业园区内企业。我们根据绩效评价目标和绩效指标体系，设计满意度调查问卷进行问卷调查，其中工业园区内企业受益对象共选取样本28人，共发放问卷28份，最终收回28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2024年3月19日-3月22日，评价小组撰写绩效评价报告，按照新疆维吾尔自治区财政绩效管理信息系统绩效评价模块中统一格式和文本框架撰写绩效评价报告并提交审核。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73144C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3EA0A7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部分达成）年初设立的绩效目标，在实施过程中取得了良好的成效，具体表现在：通过项目的实施，完成了2个消防增压泵的购置安装，新建室内外管网4905米，项目工程质量合格率100%，2023年12月31日前完成了项目建设，发挥了加大招商引资企业落地效益，助力新疆冷井热能科技装备制造有限责任公司落地投产，增加县级财政收入。但在实施过程中也存在一些不足：施工单位未按时报送结算资料，导致项目未进行决算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100.0%。最终评分结果：总分为100.0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2A59821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84F7E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BFB6F0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人民政府办公室颁发的《政府专题会会议纪要》（第17期）中：“工业园区负责委托国投公司依据项目协议对厂房改造进行立项，由国投公司代为建设，企业投产后依法依规据实支付前期建设费用。”；本项目立项符合《吉木萨尔县北庭工业园区总体规划（2019-2030）》中：“重点培育农机、节能环保、矿山工程机械、农业装备制造、汽车零部件、手机零部件以及专用机械等装备制造业，形成较为完整的装备制造体系。”内容，符合行业发展规划和政策要求；本项目立项符合《吉木萨尔北庭工业园区管理委员会配置内设机构和人员编制规定》中职责范围中的“建设和管理园区基础设施，营造投资软环境”，属于我单位履职所需；根据《财政资金直接支付申请书》，本项目资金性质为“公共财政预算”功能分类为“基础设施建设”经济分类为“其他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吉木萨尔北庭工业园区配套基础设施改造提升项目2022年6月28日取得项目建议书的批复，项目估算总投资350万元，对天成达厂房消防设施改造，主要建设内容为新建200立方米混凝土消防水池、消防增加泵2台、室内外管网长度4905米。该项目于2022年12月14日完成控制价编制，控制价编制费用1.8万元，2月1日完成项目招投标，中标单位新疆众志创业市政工程有限公司，合计实施费用共计229.8万元，实施该项目后可进一步完善园区基础设施建设，促进更多招商引资项目落地，使受益企业满意度达到90%以上，从而增加县级财政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对新疆天成达建材有限公司厂房消防设施进行改造完善，新建200立方米混凝土消防水池、消防增压泵2台、室内外管网长度4905米。工程建设按期完成，工程质量合格率达到100%，项目建设工程款及控制价编制费用共计229.8万元，资金保障率达到100%。绩效目标与实际工作内容是否一致，两者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消防设备购置2个，新建室内外管网长度4905米，于2023年12月31日前完成项目建设，工程质量合格率达到100%，及时完成项目资金支付，资金保障率100%，达到促进更多招商引资项目落地，实现新疆冷井热能科技装备制造有限公司落地，增加县级财政收入的效益，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④该项目批复的预算金额为229.8万元，《项目支出绩效目标表》中预算金额为229.8万元，预算确定的项目资金与预算确定的项目投资额相匹配。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消防设备购置数（个）、新建室内外管网长度（米），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该项目于2022年12月14日完成控制价编制，控制价编制费用1.8万元，2月1日完成项目招投标，中标单位新疆众志创业市政工程有限公司，项目建设工程款228万元，合计实施费用共计229.8万元，项目实际内容为该项目于2022年12月14日完成控制价编制，控制价编制费用1.8万元，2月1日完成项目招投标，中标单位新疆众志创业市政工程有限公司，项目建设工程款228万元，合计实施费用共计229.8万元，预算申请与《吉木萨尔北庭工业园区配套基础设施改造提升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229.8万元，我单位在预算申请中严格按照项目实施内容及测算标准进行核算，其中：项目建设工程款费用228.0万元、控制价编制费用1.8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①本项目实际分配资金以《2023年第二次财经委员会会议纪要》（吉县党财办〔2023〕2号）为依据进行资金分配，预算资金分配依据充分。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②根据《2023年第二次财经委员会会议纪要》（吉县党财办〔2023〕2号）文件显示，本项目实际到位资金229.8万元，实际分配资金与我单位提交申请的资金额度一致，资金分配额度合理，与我单位实际需求相适应。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F79992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C851A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依据《2023年第二次财经委员会会议纪要》（吉县党财办〔2023〕2号），本项目预算资金为229.8万元，实际到位资金229.8万元，资金到位率100.0%。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2023年12月底，本项目实际支出资金229.8万元，预算执行率100.0%。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北庭工业园区资金管理办法》、《吉木萨尔县财政专项资金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我单位已制定《吉木萨尔北庭工业园区资金管理办法》，上述已建立的制度均符合行政事业单位内控管理要求，财务和业务管理制度合法、合规、完整，本项目执行符合上述制度规定。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北庭工业园区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北庭工业园区配套基础设施改造提升项目工作领导小组，由李发超任组长，负责项目的组织工作；全晓龙任副组长，负责项目的实施工作；组员包括：XX徐立环和闫娟，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C9C39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F4286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“消防设备购置数（个）”指标：预期指标值为“=2个”，实际完成指标值为“2个”，指标完成率为100.0%。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综上所述，本指标满分为2.5分，根据评分标准得2.5分。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“新建室内外管网长度（米）”指标：预期指标值为“=4905米”，实际完成指标值为“4905米”，指标完成率为100.0%。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综上所述，本指标满分为2.5分，根据评分标准得2.5分。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“资金保障率（%）”指标：预期指标值为“=100%”，实际完成指标值为“=100%”，指标完成率为100.0%。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“项目完成时间”指标：预期指标值为“预计2023年12月31日前”，实际完成指标值为“基本达成目标”，指标完成率为100.0%。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“吉木萨尔北庭工业园区配套基础设施改造提升项目实施费用（万元）”指标：预期指标值为“=229.80万元”，实际完成指标值为“=229.80万元”，指标完成率为100.0%。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936C33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CBAC6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“加大招商引资企业落地，增加县级财政收入。”指标：预期指标值为“有效增加”，实际完成指标值为“基本达成目标”，指标完成率为100.0%。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“受益企业满意度（%）”指标：预期指标值为“&gt;=90%”，实际完成指标值为“=95.00%”，指标完成率为100.0%。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7AE5BF7D">
      <w:pPr>
        <w:spacing w:line="540" w:lineRule="exact"/>
        <w:ind w:firstLine="567"/>
        <w:rPr>
          <w:rStyle w:val="18"/>
          <w:rFonts w:ascii="楷体" w:hAnsi="楷体" w:eastAsia="楷体"/>
          <w:spacing w:val="-4"/>
          <w:sz w:val="32"/>
          <w:szCs w:val="32"/>
        </w:rPr>
      </w:pPr>
    </w:p>
    <w:p w14:paraId="619D834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6EE1EE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本项目年初预算资金总额为229.8万元，全年预算数为229.8万元，全年执行数为229.8万元，预算执行率为100.0%。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综上所述本项目预算执行进度与总体完成进度之间的偏差为0.0%。项目预算执行进度与绩效指标完成进度无偏差。</w:t>
      </w:r>
    </w:p>
    <w:p w14:paraId="2FD0E7A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FF391A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谋划要未雨绸缪，紧跟园区规划进行科学合理地设计。尤其要对园区内基础设施配套建设情况悉数掌握，紧盯基础设施建设短板，按照急需程度制定建设计划，有序推进项目建设。在项目建设过程中，要及时申请财政资金支持项目建设，确保项目建设进度有条不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存在的问题：施工单位未按时报送结算资料，导致项目决算审计未能及时完成。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原因分析：一是施工单位对项目档案资料整理和管理工作疏忽；二是项目主管单位对施工单位监督力度不够。</w:t>
      </w:r>
    </w:p>
    <w:p w14:paraId="5467D63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F2147A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加强项目主管单位对施工单位的日常监督管理，不定期对项目建设情况进行现场实地查看，强调项目档案资料重要性，要求施工单位限期提供档案资料。</w:t>
      </w:r>
    </w:p>
    <w:p w14:paraId="490BEC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01BA4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0E4D93B">
      <w:pPr>
        <w:spacing w:line="540" w:lineRule="exact"/>
        <w:ind w:firstLine="567"/>
        <w:rPr>
          <w:rStyle w:val="18"/>
          <w:rFonts w:ascii="仿宋" w:hAnsi="仿宋" w:eastAsia="仿宋"/>
          <w:b w:val="0"/>
          <w:spacing w:val="-4"/>
          <w:sz w:val="32"/>
          <w:szCs w:val="32"/>
        </w:rPr>
      </w:pPr>
    </w:p>
    <w:p w14:paraId="45A4C8E2">
      <w:pPr>
        <w:spacing w:line="540" w:lineRule="exact"/>
        <w:ind w:firstLine="567"/>
        <w:rPr>
          <w:rStyle w:val="18"/>
          <w:rFonts w:ascii="仿宋" w:hAnsi="仿宋" w:eastAsia="仿宋"/>
          <w:b w:val="0"/>
          <w:spacing w:val="-4"/>
          <w:sz w:val="32"/>
          <w:szCs w:val="32"/>
        </w:rPr>
      </w:pPr>
    </w:p>
    <w:p w14:paraId="0693CAFB">
      <w:pPr>
        <w:spacing w:line="540" w:lineRule="exact"/>
        <w:ind w:firstLine="567"/>
        <w:rPr>
          <w:rStyle w:val="18"/>
          <w:rFonts w:ascii="仿宋" w:hAnsi="仿宋" w:eastAsia="仿宋"/>
          <w:b w:val="0"/>
          <w:spacing w:val="-4"/>
          <w:sz w:val="32"/>
          <w:szCs w:val="32"/>
        </w:rPr>
      </w:pPr>
    </w:p>
    <w:p w14:paraId="24A0D17A">
      <w:pPr>
        <w:spacing w:line="540" w:lineRule="exact"/>
        <w:ind w:firstLine="567"/>
        <w:rPr>
          <w:rStyle w:val="18"/>
          <w:rFonts w:ascii="仿宋" w:hAnsi="仿宋" w:eastAsia="仿宋"/>
          <w:b w:val="0"/>
          <w:spacing w:val="-4"/>
          <w:sz w:val="32"/>
          <w:szCs w:val="32"/>
        </w:rPr>
      </w:pPr>
    </w:p>
    <w:p w14:paraId="776A8C4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5194BA-76F2-4370-94E0-4CF6FB5035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100B919-C2EA-4EA4-9D7A-DA5132EB49A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83D8E5E-32DB-4A2B-8571-0BB2AF2A8C2A}"/>
  </w:font>
  <w:font w:name="华文中宋">
    <w:panose1 w:val="02010600040101010101"/>
    <w:charset w:val="86"/>
    <w:family w:val="auto"/>
    <w:pitch w:val="default"/>
    <w:sig w:usb0="00000287" w:usb1="080F0000" w:usb2="00000000" w:usb3="00000000" w:csb0="0004009F" w:csb1="DFD70000"/>
    <w:embedRegular r:id="rId4" w:fontKey="{7AE0A98E-BB6E-40F8-8182-ECD8FD9F5E88}"/>
  </w:font>
  <w:font w:name="方正小标宋_GBK">
    <w:panose1 w:val="02000000000000000000"/>
    <w:charset w:val="86"/>
    <w:family w:val="script"/>
    <w:pitch w:val="default"/>
    <w:sig w:usb0="A00002BF" w:usb1="38CF7CFA" w:usb2="00082016" w:usb3="00000000" w:csb0="00040001" w:csb1="00000000"/>
    <w:embedRegular r:id="rId5" w:fontKey="{2CCFED18-EC0D-44E7-8B9E-1B6163AB345C}"/>
  </w:font>
  <w:font w:name="仿宋_GB2312">
    <w:panose1 w:val="02010609030101010101"/>
    <w:charset w:val="86"/>
    <w:family w:val="modern"/>
    <w:pitch w:val="default"/>
    <w:sig w:usb0="00000001" w:usb1="080E0000" w:usb2="00000000" w:usb3="00000000" w:csb0="00040000" w:csb1="00000000"/>
    <w:embedRegular r:id="rId6" w:fontKey="{E350C97E-4171-48D0-A96F-F2D72E384FA8}"/>
  </w:font>
  <w:font w:name="楷体">
    <w:panose1 w:val="02010609060101010101"/>
    <w:charset w:val="86"/>
    <w:family w:val="modern"/>
    <w:pitch w:val="default"/>
    <w:sig w:usb0="800002BF" w:usb1="38CF7CFA" w:usb2="00000016" w:usb3="00000000" w:csb0="00040001" w:csb1="00000000"/>
    <w:embedRegular r:id="rId7" w:fontKey="{4A3124B0-E6FA-416E-8AB4-BC12CC486B3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D1E21B">
        <w:pPr>
          <w:pStyle w:val="12"/>
          <w:jc w:val="center"/>
        </w:pPr>
        <w:r>
          <w:fldChar w:fldCharType="begin"/>
        </w:r>
        <w:r>
          <w:instrText xml:space="preserve">PAGE   \* MERGEFORMAT</w:instrText>
        </w:r>
        <w:r>
          <w:fldChar w:fldCharType="separate"/>
        </w:r>
        <w:r>
          <w:rPr>
            <w:lang w:val="zh-CN"/>
          </w:rPr>
          <w:t>2</w:t>
        </w:r>
        <w:r>
          <w:fldChar w:fldCharType="end"/>
        </w:r>
      </w:p>
    </w:sdtContent>
  </w:sdt>
  <w:p w14:paraId="6FDAC11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B16BE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11256</Words>
  <Characters>12001</Characters>
  <Lines>4</Lines>
  <Paragraphs>1</Paragraphs>
  <TotalTime>2</TotalTime>
  <ScaleCrop>false</ScaleCrop>
  <LinksUpToDate>false</LinksUpToDate>
  <CharactersWithSpaces>12018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2025-10-16T04:49:16Z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