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0AFF1">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2A1D1442">
      <w:pPr>
        <w:spacing w:line="540" w:lineRule="exact"/>
        <w:jc w:val="center"/>
        <w:rPr>
          <w:rFonts w:ascii="华文中宋" w:hAnsi="华文中宋" w:eastAsia="华文中宋" w:cs="宋体"/>
          <w:b/>
          <w:kern w:val="0"/>
          <w:sz w:val="52"/>
          <w:szCs w:val="52"/>
        </w:rPr>
      </w:pPr>
    </w:p>
    <w:p w14:paraId="540AD416">
      <w:pPr>
        <w:spacing w:line="540" w:lineRule="exact"/>
        <w:jc w:val="center"/>
        <w:rPr>
          <w:rFonts w:ascii="华文中宋" w:hAnsi="华文中宋" w:eastAsia="华文中宋" w:cs="宋体"/>
          <w:b/>
          <w:kern w:val="0"/>
          <w:sz w:val="52"/>
          <w:szCs w:val="52"/>
        </w:rPr>
      </w:pPr>
    </w:p>
    <w:p w14:paraId="38BB62DD">
      <w:pPr>
        <w:spacing w:line="540" w:lineRule="exact"/>
        <w:jc w:val="center"/>
        <w:rPr>
          <w:rFonts w:ascii="华文中宋" w:hAnsi="华文中宋" w:eastAsia="华文中宋" w:cs="宋体"/>
          <w:b/>
          <w:kern w:val="0"/>
          <w:sz w:val="52"/>
          <w:szCs w:val="52"/>
        </w:rPr>
      </w:pPr>
    </w:p>
    <w:p w14:paraId="31580B47">
      <w:pPr>
        <w:spacing w:line="540" w:lineRule="exact"/>
        <w:jc w:val="center"/>
        <w:rPr>
          <w:rFonts w:ascii="华文中宋" w:hAnsi="华文中宋" w:eastAsia="华文中宋" w:cs="宋体"/>
          <w:b/>
          <w:kern w:val="0"/>
          <w:sz w:val="52"/>
          <w:szCs w:val="52"/>
        </w:rPr>
      </w:pPr>
    </w:p>
    <w:p w14:paraId="744D86A5">
      <w:pPr>
        <w:spacing w:line="540" w:lineRule="exact"/>
        <w:jc w:val="center"/>
        <w:rPr>
          <w:rFonts w:ascii="华文中宋" w:hAnsi="华文中宋" w:eastAsia="华文中宋" w:cs="宋体"/>
          <w:b/>
          <w:kern w:val="0"/>
          <w:sz w:val="52"/>
          <w:szCs w:val="52"/>
        </w:rPr>
      </w:pPr>
    </w:p>
    <w:p w14:paraId="4BD0655A">
      <w:pPr>
        <w:spacing w:line="540" w:lineRule="exact"/>
        <w:jc w:val="center"/>
        <w:rPr>
          <w:rFonts w:ascii="华文中宋" w:hAnsi="华文中宋" w:eastAsia="华文中宋" w:cs="宋体"/>
          <w:b/>
          <w:kern w:val="0"/>
          <w:sz w:val="52"/>
          <w:szCs w:val="52"/>
        </w:rPr>
      </w:pPr>
    </w:p>
    <w:p w14:paraId="2FD2A69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19927FC">
      <w:pPr>
        <w:spacing w:line="540" w:lineRule="exact"/>
        <w:jc w:val="center"/>
        <w:rPr>
          <w:rFonts w:ascii="华文中宋" w:hAnsi="华文中宋" w:eastAsia="华文中宋" w:cs="宋体"/>
          <w:b/>
          <w:kern w:val="0"/>
          <w:sz w:val="52"/>
          <w:szCs w:val="52"/>
        </w:rPr>
      </w:pPr>
    </w:p>
    <w:p w14:paraId="0099FF9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093641F">
      <w:pPr>
        <w:spacing w:line="540" w:lineRule="exact"/>
        <w:jc w:val="center"/>
        <w:rPr>
          <w:rFonts w:hAnsi="宋体" w:eastAsia="仿宋_GB2312" w:cs="宋体"/>
          <w:kern w:val="0"/>
          <w:sz w:val="30"/>
          <w:szCs w:val="30"/>
        </w:rPr>
      </w:pPr>
    </w:p>
    <w:p w14:paraId="2D2133C9">
      <w:pPr>
        <w:spacing w:line="540" w:lineRule="exact"/>
        <w:jc w:val="center"/>
        <w:rPr>
          <w:rFonts w:hAnsi="宋体" w:eastAsia="仿宋_GB2312" w:cs="宋体"/>
          <w:kern w:val="0"/>
          <w:sz w:val="30"/>
          <w:szCs w:val="30"/>
        </w:rPr>
      </w:pPr>
    </w:p>
    <w:p w14:paraId="7BD587CF">
      <w:pPr>
        <w:spacing w:line="540" w:lineRule="exact"/>
        <w:jc w:val="center"/>
        <w:rPr>
          <w:rFonts w:hAnsi="宋体" w:eastAsia="仿宋_GB2312" w:cs="宋体"/>
          <w:kern w:val="0"/>
          <w:sz w:val="30"/>
          <w:szCs w:val="30"/>
        </w:rPr>
      </w:pPr>
    </w:p>
    <w:p w14:paraId="2F0F735B">
      <w:pPr>
        <w:spacing w:line="540" w:lineRule="exact"/>
        <w:jc w:val="center"/>
        <w:rPr>
          <w:rFonts w:hAnsi="宋体" w:eastAsia="仿宋_GB2312" w:cs="宋体"/>
          <w:kern w:val="0"/>
          <w:sz w:val="30"/>
          <w:szCs w:val="30"/>
        </w:rPr>
      </w:pPr>
    </w:p>
    <w:p w14:paraId="0BF6E683">
      <w:pPr>
        <w:spacing w:line="540" w:lineRule="exact"/>
        <w:jc w:val="center"/>
        <w:rPr>
          <w:rFonts w:hAnsi="宋体" w:eastAsia="仿宋_GB2312" w:cs="宋体"/>
          <w:kern w:val="0"/>
          <w:sz w:val="30"/>
          <w:szCs w:val="30"/>
        </w:rPr>
      </w:pPr>
    </w:p>
    <w:p w14:paraId="2281A9D3">
      <w:pPr>
        <w:spacing w:line="540" w:lineRule="exact"/>
        <w:jc w:val="center"/>
        <w:rPr>
          <w:rFonts w:hAnsi="宋体" w:eastAsia="仿宋_GB2312" w:cs="宋体"/>
          <w:kern w:val="0"/>
          <w:sz w:val="30"/>
          <w:szCs w:val="30"/>
        </w:rPr>
      </w:pPr>
    </w:p>
    <w:p w14:paraId="08D4E6F9">
      <w:pPr>
        <w:spacing w:line="540" w:lineRule="exact"/>
        <w:rPr>
          <w:rFonts w:hAnsi="宋体" w:eastAsia="仿宋_GB2312" w:cs="宋体"/>
          <w:kern w:val="0"/>
          <w:sz w:val="30"/>
          <w:szCs w:val="30"/>
        </w:rPr>
      </w:pPr>
    </w:p>
    <w:p w14:paraId="566993D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DD8CEF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2023年基本公共卫生服务中央财政补助资金</w:t>
      </w:r>
    </w:p>
    <w:p w14:paraId="2DEDD47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大有镇卫生院</w:t>
      </w:r>
    </w:p>
    <w:p w14:paraId="7A132C2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大有镇卫生院</w:t>
      </w:r>
    </w:p>
    <w:p w14:paraId="0B45998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张东升</w:t>
      </w:r>
    </w:p>
    <w:p w14:paraId="4A44D4F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14:paraId="4A3FED48">
      <w:pPr>
        <w:spacing w:line="700" w:lineRule="exact"/>
        <w:ind w:firstLine="708" w:firstLineChars="236"/>
        <w:jc w:val="left"/>
        <w:rPr>
          <w:rFonts w:hAnsi="宋体" w:eastAsia="仿宋_GB2312" w:cs="宋体"/>
          <w:kern w:val="0"/>
          <w:sz w:val="30"/>
          <w:szCs w:val="30"/>
        </w:rPr>
      </w:pPr>
    </w:p>
    <w:p w14:paraId="5142B320">
      <w:pPr>
        <w:spacing w:line="540" w:lineRule="exact"/>
        <w:rPr>
          <w:rStyle w:val="18"/>
          <w:rFonts w:ascii="黑体" w:hAnsi="黑体" w:eastAsia="黑体"/>
          <w:b w:val="0"/>
          <w:spacing w:val="-4"/>
          <w:sz w:val="32"/>
          <w:szCs w:val="32"/>
        </w:rPr>
      </w:pPr>
    </w:p>
    <w:p w14:paraId="0E78B8D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295845F">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672756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为充分发挥基层医疗卫生机构作用，围绕“补短板、强弱项、促提升”的总体要求，提升辖区居民群众就医获得感，强化卫生院服务质量，给居民群众提供一个良好的就医环境，根据昌州财社【2022】46号关于提前下达2023年中央基本公共卫生服务补助资金预算的通知，本次下达吉木萨尔县大有镇卫生院补助资金85.84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（1）项目名称：2023年基本公共卫生服务中央财政补助资金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根据昌州财社【2022】46号关于提前下达2023年中央基本公共卫生服务补助资金预项目合计下达85.84万元，其中42.57万元主要用于支付人员经费，7.58万元用于支付公用经费，35.69万元用于支付医疗设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实施主体：吉木萨尔县大有镇卫生院。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结果：1、建立居民健康档案：建立电子居民健康档案14362份，健康档案基本都能够做到动态使用，及时管理、更新、维护，并保证真实性较好，2023年居民健康体检截至现在6322人，对慢性病人、老年人和重性精神病等重点人群按照国家规范要求进行规范管理，规范填写电子档案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健康教育：工作的开展情况,利用爱眼日、高血压日、预防接种日、糖尿病日、世界结核病日、家庭医生签约日、爱牙日等卫生宣传日进行各类健康知识的宣传。并督促各村村医完成相关健康教育，开展街头宣传咨询、义诊、深入集市、学校、村委会等形式对辖区居民进行健康宣传教育。</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更新健康教育专栏12期，举办健康教育讲座26次，面向公众的健康教育咨询活动15次，发放高血压、糖尿病防治手册、老年人保健手册、中医药保健知识及传染病防治手册等相关健康教育宣传资料2000余份。并针对重点人群、重点疾病和我镇主要卫生问题和危险因素开展了健康教育，使广大居民的健康意识和自我保健意识得到了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防接种、结核病管理：工作的开展情况,按照国家免疫规划的要求，我院为辖区内0-6岁儿童开展常规疫苗接种，定期开展查漏补工作，为适龄儿童及时建证、建册、上卡，将接种信息及时录入信息化管理系统。开展疫苗强化、查漏补种等接种工作，</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，免费接种国家计划免疫疫苗556次，两轮脊灰补充免疫共199人次，为辖区居民接种新冠肺炎疫苗99人次。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老年人健康管理：结合建立居民健康档案，对我镇65岁以上老年人进行登记管理，并对所有登记管理的老年人免费进行一次健康检查，提供自我保健及预防等健康指导并开展老年人健康干预，对体检并确诊的高血压和糖尿病患者纳入慢性病患者进行管理，</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，共建立65岁以上老年人电子健康档案1541人，完成体检人数1321名，健康管理率85.72%。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慢性病健康管理：主要对高血压、糖尿病等慢性病高危人群进行健康指导。我镇积极开展35岁及以上居民高血压、糖尿病患者的筛查工作，对确诊的高血压和糖尿病的患者进行登记管理，定期进行随访，并对他们进行体格检查及用药饮食等健康指导。</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，健康管理高血压患者696人，2型糖尿病患者217人。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重性精神疾病患者管理：重性精神病在管36人，录入系统36人，0级31人，1级1人，2级4人，住院救治4人，居家患者28人，福利院4人。以上36名患者服药共29人，不服药7人（丁贵海、马兵、牛霞、牛艳芬、咸永明、哈兵、马玉贵），不服药原因为经昌吉康宁医院专家复评诊断为精神发育迟滞患者建议无需服药治疗，加强监管。36名患者均病情平稳，无肇事肇祸倾向。马长峰在乌鲁木齐第四人民医院住院，住院时间：2023年9月5号至10月27日，目前已回到家中，患者拒绝服药，且有打砸物品的情况，劝说可以停止，根据评级规定，所以评估等级从0级暂时上调到2级，现大有镇卫生院联系大有</w:t>
      </w:r>
      <w:r>
        <w:rPr>
          <w:rStyle w:val="18"/>
          <w:rFonts w:hint="eastAsia" w:ascii="楷体" w:hAnsi="楷体" w:eastAsia="楷体"/>
          <w:b w:val="0"/>
          <w:bCs w:val="0"/>
          <w:spacing w:val="-4"/>
          <w:sz w:val="32"/>
          <w:szCs w:val="32"/>
          <w:lang w:eastAsia="zh-CN"/>
        </w:rPr>
        <w:t>镇政府</w:t>
      </w:r>
      <w:r>
        <w:rPr>
          <w:rStyle w:val="18"/>
          <w:rFonts w:hint="eastAsia" w:ascii="楷体" w:hAnsi="楷体" w:eastAsia="楷体"/>
          <w:b w:val="0"/>
          <w:bCs w:val="0"/>
          <w:spacing w:val="-4"/>
          <w:sz w:val="32"/>
          <w:szCs w:val="32"/>
        </w:rPr>
        <w:t>建议将患者送到精神病医院集中管理。继续追踪。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7、孕产妇和儿童管理：2023年活产数9人，孕产妇总数15人，建卡15人,早孕建卡率100%，产前检查率100%， 住院分娩9人，住院分娩率为100%，产后访视9人，筛查高危孕妇8人，高危住院分娩8人，高危住院分娩率100%,对筛出的高危孕妇均进行专案管理，并有评分及指导治疗。6岁以下儿童人数为228人，儿童体检人数：217人，体检率：95.2%；0-3岁以下儿童数：43人，均按要求体检。婴儿死亡为0人，5岁以下儿童死亡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大有镇卫生院是一所能较好开展基本医疗服务和基本公共卫生服务的非营利性的公益医疗机构。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1.为城乡居民提供医疗、常见病多发病治疗与护理；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2.恢复期病人的康复治疗与护理；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3.预防保障，初级卫生保健规划实施、卫生信息管理；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4.承担大有镇城乡居民的十四项公共卫生管理服务工作任务。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大有镇卫生院机构设置：无下属预算单位，内设3个科室，分别是：行政科、门诊科、公卫科。吉木萨尔县吉木萨尔镇卫生院人员总数20名，其中：在职19名，退休1名，离休0名。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85.84万元，资金来源为昌州财社[2022]46号关于提前下达2023年基本公共卫生服务中央财政补助资金预算的通知，其中：财政资金85.84万元，其他资金0万元，2023年实际收到预算资金85.84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截至2023年12月31日，本项目实际支付资金85.84万元，预算执行率100%。本项目资金中42.57万元主要用于支付人员经费，7.58万元用于支付公用经费，35.69万元用于支付医疗设备。</w:t>
      </w:r>
    </w:p>
    <w:p w14:paraId="6FEBB34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67E26D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“高血压管理人数”指标，预期指标值为“≥600人”；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“糖尿病管理人数”指标，预期指标值为“≥120人”；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“老年人健康管理人数”指标，预期指标值为“≥1000人”；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“居民健康档案电子化建档覆盖率”指标，预期指标值为“≥60%”；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“适龄儿童国家免疫规划疫苗接种率”指标，预期指标值为“≥90%”；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“基本公共卫生服务成本费用”指标，预期指标值为“&lt;=85.84万元”；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“基本公共卫生服务水平”指标，预期指标值为“持续提高”。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“受益人员满意度”指标，预期指标值为“≥95%”。</w:t>
      </w:r>
    </w:p>
    <w:p w14:paraId="6F464F7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0DE6B1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549E2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社[2022]46号关于提前下达2023年基本公共卫生服务中央财政补助资金预算的通知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（12）《昌州财社〔2022〕46号关于提前下达2023年中央财政基本公共卫生服务补助资金的预算通知》。</w:t>
      </w:r>
    </w:p>
    <w:p w14:paraId="294BA9A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69220D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5E04E8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4A7F3C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张东升（评价小组组长）：主要负责项目策划和监督，全面负责项目绩效评价办稿的最终质量，对评估人员出具的最终报告质量进行复核，确保评估结果的客观性；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王佳乐（评价小组组员）：主要负责资料的收集，取证、数据统计分析；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付玲（评价小组组员）：主要负责主要负责项目报告的制定，指标的研判，数据分析及报告撰写。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2024年3月7日-3月20日，评价工作进入实施阶段。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辖区内的1-7岁以下儿童，糖尿病患者、高血压患者、孕产妇等特殊人群。我们根据绩效评价目标和绩效指标体系，设计满意度调查问卷进行问卷调查，其中昌州财社【2022】46号关于提前下达2023年中央基本公共卫生服务补助资金预项目受益对象共选取样本20人，共发放问卷20份，最终收回16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2024年3月21日-3月25日，评价小组按照绩效评价的原则和规范，对取得的资料进行审查核实，对采集的数据进行分析，按照绩效评价指标评分表逐项进行打分、分析、汇总各方评价结果。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2024年3月25-3月27日，评价小组撰写绩效评价报告，按照新疆维吾尔自治区财政绩效管理信息系统绩效评价模块中统一格式和文本框架撰写绩效评价报告并提交审核。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AC633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CE771D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高血压管理人数达到100%、糖尿病管理人数达到100%、老年人健康管理人数达到100%各项产出目标，发挥了缩小城乡居民公共卫生差距，提升基本公共卫生服务水平的效益。但在实施过程中也存在一些不足：例如资金支付不够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项目产出类指标共设置7个，满分指标7个，得分率100%；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29A1EB7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5F1A11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D18A8A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相关国家法律法规发展规划和相关政策；项目立项与吉木萨尔县庆阳湖乡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大有镇卫生院昌州财社【2022】46号关于提前下达2023年中央基本公共卫生服务补助资金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免费向城乡居民提供基本公共卫生服务。高血压管理人数≥600人：糖尿病管理人数≥120人；老年人健康管理人数≥1000人；居民健康档案电子化建档覆盖率≥60%；适龄儿童国家免疫规划疫苗接种率≥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免费向城乡居民提供基本公共卫生服务。高血压管理人数达到699人：糖尿病管理人数达到217人；老年人健康管理人数达到1287人；居民健康档案电子化建档覆盖率达到81.76%；适龄儿童国家免疫规划疫苗接种率达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完成了高血压管理人数达到699人：糖尿病管理人数达到217人；老年人健康管理人数达到1287人；居民健康档案电子化建档覆盖率达到81.76%；适龄儿童国家免疫规划疫苗接种率达到100%。发挥了缩小城乡居民公共卫生差距，提升基本公共卫生服务水平的效益。预期产出效益和效果均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④该项目批复的预算金额为85.84万元，《项目支出绩效目标表》中预算金额为85.84万元，预算确定的项目资金与预算确定的项目投资额相匹配。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100%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高血压管理人数≥600人：糖尿病管理人数≥120人；老年人健康管理人数≥1000人。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本项目昌州财社【2022】46号关于提前下达2023年中央基本公共卫生服务补助资金项目，即预算编制较科学且经过论证；预算编制通过以往年度的实际执行情况，综合考虑本年度情况，综合编制预算。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85.84万元，我单位在预算申请中严格按照项目实施内容及测算标准进行核算，其中：本项目资金中42.57万元主要用于支付人员经费，7.58万元用于支付公用经费，35.69万元用于支付医疗设备。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①本项目实际分配资金以昌州财社[2022]46号文件为依据进行资金分配，预算资金分配依据充分。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②根据昌州财社[2022]46号文件显示，本项目实际到位资金84.85万元，实际分配资金与我单位提交申请的资金额度一致，资金分配额度合理，与我单位实际需求相适应。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7FF6E18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AC13F5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依据昌州财社[2022]46号，本项目预算资金为85.84万元，实际到位资金85.84万元，资金到位率100%。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2023年12月底，本项目实际支出资金85.84万元，预算执行率100%。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资金管理办法》《固定资产管理制度》《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资金管理办法》《固定资产管理制度》《政府采购业务管理制度》《合同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基本公共卫生项目工作领导小组，由吴红亮任组长，负责项目的组织工作；许俊、杨世凯任副组长，负责项目的实施工作；组员包括：刘春和迪力拜尔，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46D040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566DD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项目产出类指标由3个二级指标和7个三级指标构成，权重分30.0分，实际得分30分。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“高血压管理人数≥600人”指标：预期指标值为“&gt;=600人”，实际完成指标值为“699人”，指标完成率为100.0%。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“糖尿病管理人数”指标：预期指标值为“&gt;=120人”，实际完成指标值为“217人”，指标完成率为100.0%。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“老年人健康管理人数”指标：预期指标值为“&gt;=1000人”，实际完成指标值为“1287人”，指标完成率为100.0%。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“居民健康档案电子化建档覆盖率”指标：预期指标值为“&gt;=60%”，实际完成指标值为“81.76%”，指标完成率为100.0%。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“适龄儿童国家免疫规划疫苗接种率”指标：预期指标值为“&gt;=90%”，实际完成指标值为“100%”，指标完成率为100.0%。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“基本公共卫生服务成本费用”指标：预期指标值为“&lt;=85.84万元”，实际完成指标值为“85.84万元”，指标完成率为100%。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299AAC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5477F8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“基本公共卫生服务水平”指标：预期指标值为“持续提高”，实际完成指标值为“基本达成目标”，指标完成率为100.0%。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p>
    <w:p w14:paraId="1583F428">
      <w:pPr>
        <w:spacing w:line="540" w:lineRule="exact"/>
        <w:ind w:firstLine="567"/>
        <w:rPr>
          <w:rStyle w:val="18"/>
          <w:rFonts w:ascii="楷体" w:hAnsi="楷体" w:eastAsia="楷体"/>
          <w:spacing w:val="-4"/>
          <w:sz w:val="32"/>
          <w:szCs w:val="32"/>
        </w:rPr>
      </w:pPr>
    </w:p>
    <w:p w14:paraId="48D3135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D8ABD7F">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本项目年初预算资金总额为85.84万元，全年预算数为85.84万元，全年执行数为85.84万元，预算执行率为100%。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69B1288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E41B71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本项目2023年度无存在的问题。</w:t>
      </w:r>
    </w:p>
    <w:p w14:paraId="2DDBA65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7FB77F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7B7795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5AC51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450FC13">
      <w:pPr>
        <w:spacing w:line="540" w:lineRule="exact"/>
        <w:ind w:firstLine="567"/>
        <w:rPr>
          <w:rStyle w:val="18"/>
          <w:rFonts w:ascii="仿宋" w:hAnsi="仿宋" w:eastAsia="仿宋"/>
          <w:b w:val="0"/>
          <w:spacing w:val="-4"/>
          <w:sz w:val="32"/>
          <w:szCs w:val="32"/>
        </w:rPr>
      </w:pPr>
    </w:p>
    <w:p w14:paraId="3E2EA191">
      <w:pPr>
        <w:spacing w:line="540" w:lineRule="exact"/>
        <w:ind w:firstLine="567"/>
        <w:rPr>
          <w:rStyle w:val="18"/>
          <w:rFonts w:ascii="仿宋" w:hAnsi="仿宋" w:eastAsia="仿宋"/>
          <w:b w:val="0"/>
          <w:spacing w:val="-4"/>
          <w:sz w:val="32"/>
          <w:szCs w:val="32"/>
        </w:rPr>
      </w:pPr>
    </w:p>
    <w:p w14:paraId="286A202E">
      <w:pPr>
        <w:spacing w:line="540" w:lineRule="exact"/>
        <w:ind w:firstLine="567"/>
        <w:rPr>
          <w:rStyle w:val="18"/>
          <w:rFonts w:ascii="仿宋" w:hAnsi="仿宋" w:eastAsia="仿宋"/>
          <w:b w:val="0"/>
          <w:spacing w:val="-4"/>
          <w:sz w:val="32"/>
          <w:szCs w:val="32"/>
        </w:rPr>
      </w:pPr>
    </w:p>
    <w:p w14:paraId="74E9E109">
      <w:pPr>
        <w:spacing w:line="540" w:lineRule="exact"/>
        <w:ind w:firstLine="567"/>
        <w:rPr>
          <w:rStyle w:val="18"/>
          <w:rFonts w:ascii="仿宋" w:hAnsi="仿宋" w:eastAsia="仿宋"/>
          <w:b w:val="0"/>
          <w:spacing w:val="-4"/>
          <w:sz w:val="32"/>
          <w:szCs w:val="32"/>
        </w:rPr>
      </w:pPr>
    </w:p>
    <w:p w14:paraId="398C681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B162CEE">
        <w:pPr>
          <w:pStyle w:val="12"/>
          <w:jc w:val="center"/>
        </w:pPr>
        <w:r>
          <w:fldChar w:fldCharType="begin"/>
        </w:r>
        <w:r>
          <w:instrText xml:space="preserve">PAGE   \* MERGEFORMAT</w:instrText>
        </w:r>
        <w:r>
          <w:fldChar w:fldCharType="separate"/>
        </w:r>
        <w:r>
          <w:rPr>
            <w:lang w:val="zh-CN"/>
          </w:rPr>
          <w:t>2</w:t>
        </w:r>
        <w:r>
          <w:fldChar w:fldCharType="end"/>
        </w:r>
      </w:p>
    </w:sdtContent>
  </w:sdt>
  <w:p w14:paraId="249CE73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B2F44B3"/>
    <w:rsid w:val="3029612C"/>
    <w:rsid w:val="32A221C5"/>
    <w:rsid w:val="32DC30CE"/>
    <w:rsid w:val="33F20F2A"/>
    <w:rsid w:val="34C44675"/>
    <w:rsid w:val="3B5B5607"/>
    <w:rsid w:val="3CE21B3C"/>
    <w:rsid w:val="4D2606A1"/>
    <w:rsid w:val="51830480"/>
    <w:rsid w:val="53A616BE"/>
    <w:rsid w:val="54662BFB"/>
    <w:rsid w:val="62051CA5"/>
    <w:rsid w:val="6A6E2AA9"/>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93</Words>
  <Characters>531</Characters>
  <Lines>4</Lines>
  <Paragraphs>1</Paragraphs>
  <TotalTime>4</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2025-10-14T10:44:28Z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