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02F900">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56E60D94">
      <w:pPr>
        <w:spacing w:line="540" w:lineRule="exact"/>
        <w:jc w:val="center"/>
        <w:rPr>
          <w:rFonts w:ascii="华文中宋" w:hAnsi="华文中宋" w:eastAsia="华文中宋" w:cs="宋体"/>
          <w:b/>
          <w:kern w:val="0"/>
          <w:sz w:val="52"/>
          <w:szCs w:val="52"/>
        </w:rPr>
      </w:pPr>
    </w:p>
    <w:p w14:paraId="3A1467F1">
      <w:pPr>
        <w:spacing w:line="540" w:lineRule="exact"/>
        <w:jc w:val="center"/>
        <w:rPr>
          <w:rFonts w:ascii="华文中宋" w:hAnsi="华文中宋" w:eastAsia="华文中宋" w:cs="宋体"/>
          <w:b/>
          <w:kern w:val="0"/>
          <w:sz w:val="52"/>
          <w:szCs w:val="52"/>
        </w:rPr>
      </w:pPr>
    </w:p>
    <w:p w14:paraId="74922A68">
      <w:pPr>
        <w:spacing w:line="540" w:lineRule="exact"/>
        <w:jc w:val="center"/>
        <w:rPr>
          <w:rFonts w:ascii="华文中宋" w:hAnsi="华文中宋" w:eastAsia="华文中宋" w:cs="宋体"/>
          <w:b/>
          <w:kern w:val="0"/>
          <w:sz w:val="52"/>
          <w:szCs w:val="52"/>
        </w:rPr>
      </w:pPr>
    </w:p>
    <w:p w14:paraId="74B39B74">
      <w:pPr>
        <w:spacing w:line="540" w:lineRule="exact"/>
        <w:jc w:val="center"/>
        <w:rPr>
          <w:rFonts w:ascii="华文中宋" w:hAnsi="华文中宋" w:eastAsia="华文中宋" w:cs="宋体"/>
          <w:b/>
          <w:kern w:val="0"/>
          <w:sz w:val="52"/>
          <w:szCs w:val="52"/>
        </w:rPr>
      </w:pPr>
    </w:p>
    <w:p w14:paraId="3BAD32DE">
      <w:pPr>
        <w:spacing w:line="540" w:lineRule="exact"/>
        <w:jc w:val="center"/>
        <w:rPr>
          <w:rFonts w:ascii="华文中宋" w:hAnsi="华文中宋" w:eastAsia="华文中宋" w:cs="宋体"/>
          <w:b/>
          <w:kern w:val="0"/>
          <w:sz w:val="52"/>
          <w:szCs w:val="52"/>
        </w:rPr>
      </w:pPr>
    </w:p>
    <w:p w14:paraId="1AA37EDF">
      <w:pPr>
        <w:spacing w:line="540" w:lineRule="exact"/>
        <w:jc w:val="center"/>
        <w:rPr>
          <w:rFonts w:ascii="华文中宋" w:hAnsi="华文中宋" w:eastAsia="华文中宋" w:cs="宋体"/>
          <w:b/>
          <w:kern w:val="0"/>
          <w:sz w:val="52"/>
          <w:szCs w:val="52"/>
        </w:rPr>
      </w:pPr>
    </w:p>
    <w:p w14:paraId="2EBC3D61">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5E724E1">
      <w:pPr>
        <w:spacing w:line="540" w:lineRule="exact"/>
        <w:jc w:val="center"/>
        <w:rPr>
          <w:rFonts w:ascii="华文中宋" w:hAnsi="华文中宋" w:eastAsia="华文中宋" w:cs="宋体"/>
          <w:b/>
          <w:kern w:val="0"/>
          <w:sz w:val="52"/>
          <w:szCs w:val="52"/>
        </w:rPr>
      </w:pPr>
    </w:p>
    <w:p w14:paraId="79274490">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7B8D2B12">
      <w:pPr>
        <w:spacing w:line="540" w:lineRule="exact"/>
        <w:jc w:val="center"/>
        <w:rPr>
          <w:rFonts w:hAnsi="宋体" w:eastAsia="仿宋_GB2312" w:cs="宋体"/>
          <w:kern w:val="0"/>
          <w:sz w:val="30"/>
          <w:szCs w:val="30"/>
        </w:rPr>
      </w:pPr>
    </w:p>
    <w:p w14:paraId="01289D59">
      <w:pPr>
        <w:spacing w:line="540" w:lineRule="exact"/>
        <w:jc w:val="center"/>
        <w:rPr>
          <w:rFonts w:hAnsi="宋体" w:eastAsia="仿宋_GB2312" w:cs="宋体"/>
          <w:kern w:val="0"/>
          <w:sz w:val="30"/>
          <w:szCs w:val="30"/>
        </w:rPr>
      </w:pPr>
    </w:p>
    <w:p w14:paraId="718C7E24">
      <w:pPr>
        <w:spacing w:line="540" w:lineRule="exact"/>
        <w:jc w:val="center"/>
        <w:rPr>
          <w:rFonts w:hAnsi="宋体" w:eastAsia="仿宋_GB2312" w:cs="宋体"/>
          <w:kern w:val="0"/>
          <w:sz w:val="30"/>
          <w:szCs w:val="30"/>
        </w:rPr>
      </w:pPr>
    </w:p>
    <w:p w14:paraId="499B8C18">
      <w:pPr>
        <w:spacing w:line="540" w:lineRule="exact"/>
        <w:jc w:val="center"/>
        <w:rPr>
          <w:rFonts w:hAnsi="宋体" w:eastAsia="仿宋_GB2312" w:cs="宋体"/>
          <w:kern w:val="0"/>
          <w:sz w:val="30"/>
          <w:szCs w:val="30"/>
        </w:rPr>
      </w:pPr>
    </w:p>
    <w:p w14:paraId="6204E53E">
      <w:pPr>
        <w:spacing w:line="540" w:lineRule="exact"/>
        <w:jc w:val="center"/>
        <w:rPr>
          <w:rFonts w:hAnsi="宋体" w:eastAsia="仿宋_GB2312" w:cs="宋体"/>
          <w:kern w:val="0"/>
          <w:sz w:val="30"/>
          <w:szCs w:val="30"/>
        </w:rPr>
      </w:pPr>
    </w:p>
    <w:p w14:paraId="29DD515E">
      <w:pPr>
        <w:spacing w:line="540" w:lineRule="exact"/>
        <w:jc w:val="center"/>
        <w:rPr>
          <w:rFonts w:hAnsi="宋体" w:eastAsia="仿宋_GB2312" w:cs="宋体"/>
          <w:kern w:val="0"/>
          <w:sz w:val="30"/>
          <w:szCs w:val="30"/>
        </w:rPr>
      </w:pPr>
    </w:p>
    <w:p w14:paraId="5466BF34">
      <w:pPr>
        <w:spacing w:line="540" w:lineRule="exact"/>
        <w:rPr>
          <w:rFonts w:hAnsi="宋体" w:eastAsia="仿宋_GB2312" w:cs="宋体"/>
          <w:kern w:val="0"/>
          <w:sz w:val="30"/>
          <w:szCs w:val="30"/>
        </w:rPr>
      </w:pPr>
    </w:p>
    <w:p w14:paraId="5B0BEB88">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9548E58">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吉木萨尔县新地乡大蒜文化科普馆展陈建设项目</w:t>
      </w:r>
    </w:p>
    <w:p w14:paraId="5738C349">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吉木萨尔县新地乡人民政府本级</w:t>
      </w:r>
    </w:p>
    <w:p w14:paraId="6C883CD7">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吉木萨尔县新地乡人民政府本级</w:t>
      </w:r>
    </w:p>
    <w:p w14:paraId="2B5D3181">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王亚辉</w:t>
      </w:r>
    </w:p>
    <w:p w14:paraId="080F0914">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2024年04月09日</w:t>
      </w:r>
    </w:p>
    <w:p w14:paraId="7191AD6A">
      <w:pPr>
        <w:spacing w:line="700" w:lineRule="exact"/>
        <w:ind w:firstLine="708" w:firstLineChars="236"/>
        <w:jc w:val="left"/>
        <w:rPr>
          <w:rFonts w:hAnsi="宋体" w:eastAsia="仿宋_GB2312" w:cs="宋体"/>
          <w:kern w:val="0"/>
          <w:sz w:val="30"/>
          <w:szCs w:val="30"/>
        </w:rPr>
      </w:pPr>
    </w:p>
    <w:p w14:paraId="6C74B99B">
      <w:pPr>
        <w:spacing w:line="540" w:lineRule="exact"/>
        <w:rPr>
          <w:rStyle w:val="18"/>
          <w:rFonts w:ascii="黑体" w:hAnsi="黑体" w:eastAsia="黑体"/>
          <w:b w:val="0"/>
          <w:spacing w:val="-4"/>
          <w:sz w:val="32"/>
          <w:szCs w:val="32"/>
        </w:rPr>
      </w:pPr>
    </w:p>
    <w:p w14:paraId="5E4F09D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DC9ACB9">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350E916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大力发展大蒜产业，紧密结合地方实际 ，深入贯彻落实新疆工作总目标。把大蒜产业做优做强，对于扩大就业、改善民生，促进一、二、三产业融合发展、培育新的经济增长点，树立新疆良好形象、增进民族交往交流交融 ，都具有十分重要的意义。吉木萨尔</w:t>
      </w:r>
      <w:r>
        <w:rPr>
          <w:rStyle w:val="18"/>
          <w:rFonts w:hint="eastAsia" w:ascii="楷体" w:hAnsi="楷体" w:eastAsia="楷体"/>
          <w:b w:val="0"/>
          <w:bCs w:val="0"/>
          <w:spacing w:val="-4"/>
          <w:sz w:val="32"/>
          <w:szCs w:val="32"/>
          <w:lang w:eastAsia="zh-CN"/>
        </w:rPr>
        <w:t>县委、县政府</w:t>
      </w:r>
      <w:r>
        <w:rPr>
          <w:rStyle w:val="18"/>
          <w:rFonts w:hint="eastAsia" w:ascii="楷体" w:hAnsi="楷体" w:eastAsia="楷体"/>
          <w:b w:val="0"/>
          <w:bCs w:val="0"/>
          <w:spacing w:val="-4"/>
          <w:sz w:val="32"/>
          <w:szCs w:val="32"/>
        </w:rPr>
        <w:t>加大建设“五化大蒜优质产品及良种繁 育基地”，全面提升吉木萨尔大蒜良种繁育生产能力、种蒜储藏能力、管理服务能力、育种创新能力以及信息化水平和品牌价值，实现一二 三产融合发展，提升产业综合效益。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（1）项目名称：吉木萨尔县新地乡大蒜文化科普馆展陈建设项目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大蒜文化科普馆内部展示陈列装饰装修、电气设备安装、布展工程、弱电工程、通风空调工程、配套消防工程等。主要用于普及大蒜知识，现场传授大蒜鉴别小知识。向蒜农推广大蒜的科学种植管理方法，为各族群众致富增收保驾护航。聚焦特色产业发展，围绕特色农产品，请来土专家、农创客、田秀才、新型职业农民、能工巧匠和劳动模范，进科普馆传经送宝，传播科学理念，交流致富经验，发挥辐射带动作用开展非遗、书法、剪纸等传统文化互动，以丰富多彩的文化活动凝聚人心，不断增强群众的获得感、幸福感、安全感。交流大蒜美食，分享大蒜方剂。电商 ，农特产品、文创产品展示销售，追根溯源大蒜传播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实施主体：吉木萨尔县新地乡人民政府。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本项目于2023年4月13日由吉木萨尔县发改委审批通过，新地乡人民政府负责实施，本项目为装饰装修项目，新地乡于2023年7月发布招标公告，2023年8月11日开标确定施工单位，8月12日正式开工建设。截至目前，该项目仍未完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1、制定和组织实施经济、科技和社会发展计划，制定资源开发技术改造和产业结构调整方案，组织指导好各业生产， 搞好商品流通，协调好本乡与外地区的经济交流与合作，抓好招商引资，人才引进项目开发，不断培育市场体系，组织经济 运行，促进经济发展。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2、制定并组织实施村镇建设规划，部署重点工程建设，地方道路建设及公共设施，水利设施的管理，负责土地、林木、 水等自然资源和生态环境的保护，做好护林防火工作。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3、负责本行政区域内的民政、文化教育、卫生、体育等社会公益事业的综合性工作，维护一切经济单位和 个人的正当经济权益，取缔非法经济活动，调解和处理民事纠纷，打击刑事犯罪维护社会稳定。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4、按计划组织本级财政收入和地方税的征收，完成国家财政计划，不断培植税源，管好财政资金，增强财政实力。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5、抓好精神文明建设，丰富群众文化生活，提倡移风易俗，反对封建迷信，破除陈规陋习，树立社会主义新风尚。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6、完成上级政府交办的其他事项。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民政局现有11个内设科室:即党政办、党建办、纪委纪检监察办公室、文体广电旅游服务中心、综治中心、村镇规划建设发展中心、农业（畜牧业）发展中心，社会事务办公室，社会保障(民政）服务中心，经济发展办公室，农村经济（统计）发展中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本项目预算安排总额为140万元，资金来源为县财政资金，2023年实际收到预算资金140万元，预算资金到位率为100%。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截至2023年12月31日，本项目实际支付资金140万元，预算执行率100%，本项目资金主要用于支付施工费用140万元。</w:t>
      </w:r>
    </w:p>
    <w:p w14:paraId="190F5BD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2B47872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新地乡大蒜文化科普馆展陈建设项目主要内容：大蒜文化科普馆内部展示陈列装饰装修、电气设备安装、布展工程、弱电工程、通风空调工程、配套消防工程等。有效提升文化馆内部装修，提高群众文化满意度。发扬乡村振兴战略思想，建设农文旅产业融合，带动当地经济和农民富裕增收，更好的促进文化旅游产业的延伸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“项目建设内容”指标 ，预期指标值为“6项”；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“项目完工及时率”指标，预期指标值为“100%”；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“项目开工及时率”指标，预期指标值为“100%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“项目成本”指标，预期指标值为“&lt;=140万元”；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“提升文化馆内部装饰装修”指标，预期指标值为“有效提升”；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“委托方满意度”指标，预期指标值为“&gt;=90%”。</w:t>
      </w:r>
    </w:p>
    <w:p w14:paraId="443CFD0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3E981EE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2CF5BC1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此次我单位根据《财政支出绩效评价管理暂行办法》（财预〔2020〕10号）文件要求实施评价工作，本次评价对象为吉木萨尔县新地乡大蒜文化科普馆展陈建设项目，评价核心为项目资金、项目产出、项目效益。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（12）《关于申请吉木萨尔县新地乡大蒜文化科普馆展陈建设项目建议书批复的报告》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（13）《吉木萨尔县新地乡大蒜文化科普馆展陈建设项目建议书》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（14）《关于吉木萨尔县新地乡大蒜文化科普馆展陈建设项目资金的申请》（新乡政发[2024]13号）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（15）《关于吉木萨尔县新地乡大蒜文化科普馆展陈建设项目资金的申请》（新乡政发[2023]28号）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（16）《关于吉木萨尔县新地乡大蒜文化科普馆展陈建设项目部分建设内容变更的请示》（新乡政发[2023]35号）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（17）《关于吉木萨尔县新地乡大蒜文化科普馆展陈建设项目资金的申请》（新乡政发[2023]38号）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（18）《关于吉木萨尔县新地乡大蒜文化科普馆展陈建设项目资金的申请》（新乡政发[2023]42号）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（19）《关于吉木萨尔县新地乡大蒜文化科普馆展陈建设项目资金的申请》（新乡政发[2023]43号）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（20）《关于吉木萨尔县新地乡大蒜文化科普馆展陈建设项目资金的申请》（新乡政发[2023]44号）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（21）《关于吉木萨尔县新地乡大蒜文化科普馆展陈建设项目资金的申请》（新乡政发[2024]2号）</w:t>
      </w:r>
    </w:p>
    <w:p w14:paraId="54F31964">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52162FE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属于“是”或“否”判断的单一评判定量指标：比较法，符合要求的得满分，不符合要求的不得分或者扣相应的分数。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73F7FEC">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0E04A1D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何培旭（评价小组组长）：主要负责项目策划和监督，全面负责项目绩效评价办稿的最终质量，对评估人员出具的最终报告质量进行复核，确保评估结果的客观性；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王亚辉（评价小组组员）：主要负责资料的收集，取证、数据统计分析；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王峰（评价小组组员）：主要负责主要负责项目报告的制定，指标的研判，数据分析及报告撰写。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2024年3月10日-3月15日，评价工作进入实施阶段。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2024年3月15日-3月20日，评价小组按照绩效评价的原则和规范，对取得的资料进行审查核实，对采集的数据进行分析，按照绩效评价指标评分表逐项进行打分、分析、汇总各方评价结果。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2024年3月20-3月25日，评价小组撰写绩效评价报告，按照新疆维吾尔自治区财政绩效管理信息系统绩效评价模块中统一格式和文本框架撰写绩效评价报告并提交审核。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5A361FB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5E167FC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经评价，本项目达成年初设立的绩效目标，在实施过程中取得了良好的成效，具体表现在：具体表现在以下两方面：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在项目决策方面：该项目的决策实施，立项规范，程序到位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项目管理方面：项目的严格按照立项批复执行落实，按期完工，资金到位及时，资金支付及时。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项目产出方面：项目产出严格按照项目立项批复及前期设计施工完成。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项目效益方面：项目实施后有利于坚持铸牢中华民族共同体意识，构筑各民族共有精神家园，促进各民族全面交往、广泛交流、深度交融，有效推动民族社会主义文艺事业高质量发展。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吉木萨尔县新地乡大蒜文化科普馆展陈建设项目主要内容：大蒜文化科普馆内部展示陈列装饰装修、电气设备安装、布展工程、弱电工程、通风空调工程、配套消防工程等。总投资140万元，有效文化馆内部装修，提高群众文化满意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18个，实现三级指标数量18个，总体完成率为100%。最终评分结果：总分为100分，绩效评级为“优”。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w:t>
      </w:r>
    </w:p>
    <w:p w14:paraId="2917D3E9">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22761A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55437C78">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项目资金管理制度》等国家法律法规，符合行业发展规划和政策要求；属于我单位履职所需；根据《财政资金直接支付申请书》，本项目资金性质为“公共财政预算”功能分类为“2120814农业生产发展支出”经济分类为“50299其他商品和服务费用”属于公共财政支持范围，符合中央、地方事权支出责任划分原则；经检查我单位财政管理一体化信息系统，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该项目由我单位召开党委会议申请补助资金进行立项，上报上级部门进行资金批复，按照项目规定进行实施，做好项目的立项工作。该项目经过了必要的实施方案、集体决策程序。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综上，该指标满分3分，根据评分标准得3分，本项目立项程序合规。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已设置年度绩效目标，具体内容为“吉木萨尔县新地乡大蒜文化科普馆展陈建设项目主要内容：大蒜文化科普馆内部展示陈列装饰装修、电器设备安装、布展工程、弱电工程、通风空调工程、配套消防工程等，资金共计140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吉木萨尔县新地乡大蒜文化科普馆展陈建设项目预算拨付140万元，大蒜文化科普馆内部展示陈列装饰装修工程款支付140万元，截止年底全部支付完毕，有效提升文化馆内部装修，提高群众文化满意度。绩效目标与实际工作内容一致，两者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按照绩效目标完成大蒜文化科普馆内部展示陈列装饰装修、电器设备安装、布展工程、弱电工程、通风空调工程、配套消防工程等，完成了预算拨付140万元，大蒜文化科普馆内部展示陈列装饰装修工程款支付140万元，截止年底全部支付完毕，达到大蒜文化科普馆内部展示陈列效益，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④该项目批复的预算金额为269.27万元，《项目支出绩效目标表》中预算金额为140万元，实际到位资金140万元，预算确定的项目资金与预算确定的实际到位资金匹配。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7个，定量指标6个，定性指标1个，指标量化率为85.71%%，量化率达70.0%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该《项目绩效目标申报表》中，数量指标指标值为项目建设内容≥6个，三级指标的年度指标值与年度绩效目标中任务数一致。已设置的绩效目标具备明确性、可衡量性、可实现性、相关性、时限性。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本项目新地乡大蒜文化科普馆展陈建设项目向吉木萨尔县发展和改革委员会提交《关于申请吉木萨尔县新地乡大蒜文化科普馆展陈建设项目建议书批复的报告》确定项目投资，即预算编制较科学且经过论证；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本项目预算申请内容为269.27万元，本项目资金主要用于支付新地乡大蒜文化科普馆展陈建设项目，预算申请与《吉木萨尔县发展和改革委员会文件》（吉县发改【2023】81号）文件中涉及的项目内容匹配。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140万元，我单位在预算申请中严格按照项目实施内容及测算标准进行核算，其中：工程费用140万元。预算确定资金量与实际工作任务相匹配。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实际分配资金《吉木萨尔县发展和改革委员会文件》（吉县发改【2023】81号）文件（专项资金则以资金文件为准，年初预算则填年初部门预算批复文件，年中追加本级预算则填写具体的决策事项及会议纪要等）为依据进行资金分配，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②根据吉木萨尔县新地乡大蒜文化科普馆展陈建设项目文件显示，本项目实际到位资金140万元，实际分配资金与我单位提交申请的资金额度一致，资金分配额度合理，与我单位实际需求相适应。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综上所述，本指标满分为2.0分，根据评分标准得2分，本项目资金分配合理。</w:t>
      </w:r>
      <w:r>
        <w:rPr>
          <w:rStyle w:val="18"/>
          <w:rFonts w:hint="eastAsia" w:ascii="楷体" w:hAnsi="楷体" w:eastAsia="楷体"/>
          <w:b w:val="0"/>
          <w:bCs w:val="0"/>
          <w:spacing w:val="-4"/>
          <w:sz w:val="32"/>
          <w:szCs w:val="32"/>
        </w:rPr>
        <w:tab/>
      </w:r>
    </w:p>
    <w:p w14:paraId="726B42FE">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302E06D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依据吉木萨尔县新地乡大蒜文化科普馆展陈建设项目文件，本项目预算资金为140万元，实际到位资金140万元，资金到位率100%。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2023年12月底，本项目实际支出资金140万元，预算执行率100%。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本项目合同、财务支出凭证等资料，本项目资金使用符合国家财经法规、《政府会计制度》、《吉木萨尔县新地乡政府财务管理制度》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专项资金管理制度》《吉木萨尔县新地乡政府财务管理制度》《政府采购业务管理制度》等，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综上所述，本指标满分为2分，根据评分标准得2分,本项目管理制度健全。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项目实施办法，相关法律法规及管理规定，项目具备完整规范的立项程序；经查证项目实施过程资料，均按照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②经现场查证项目合同书、验收评审表、财务支付凭证等资料齐全并及时归档。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③该项目实施过程中不存在调整事项。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新地乡大蒜文化科普馆展陈建设项目工作领导小组，由徐涛任组长，负责项目的组织工作；何培旭任副组长，负责项目的实施工作；组员包括：王亚辉和王峰，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综上所述，本指标满分为4.0分，根据评分标准得4分，本项目所建立制度执行有效。</w:t>
      </w:r>
    </w:p>
    <w:p w14:paraId="59CCDE8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3B5A632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“项目建设内容”指标：预期指标值为“≥6项”，实际完成指标值为“6项”，指标完成率为100.0%。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综上所述，本指标满分为8分，根据评分标准得8分。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综上所述，本指标满分为8分，根据评分标准得8分。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“项目完工及时率”指标：预期指标值为100%，实际完成指标值为100%，指标完成率为100%。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“项目开工及时率”指标：预期指标值为100%，实际完成指标值为100%，指标完成率为100%。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“项目成本”指标：预期指标值为“≤140万元”，实际完成指标值为“140万元”，指标完成率为100%。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综上所述，本指标满分为4分，根据评分标准得4分。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w:t>
      </w:r>
    </w:p>
    <w:p w14:paraId="5EAFE7F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4B6AFBF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“提升文化馆内部装饰”指标：预期指标值为“有效提升”，实际完成指标值为“基本达成目标”，指标完成率为100.0%。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综上所述，本指标满分为15分，根据评分标准得5分。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“委托方满意度”指标：预期指标值为“≥90%”，实际完成指标值为“≥90%”，指标完成率为100%。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综上所述，本指标满分为15分，根据评分标准得15分。</w:t>
      </w:r>
    </w:p>
    <w:p w14:paraId="5ED2445A">
      <w:pPr>
        <w:spacing w:line="540" w:lineRule="exact"/>
        <w:ind w:firstLine="567"/>
        <w:rPr>
          <w:rStyle w:val="18"/>
          <w:rFonts w:ascii="楷体" w:hAnsi="楷体" w:eastAsia="楷体"/>
          <w:spacing w:val="-4"/>
          <w:sz w:val="32"/>
          <w:szCs w:val="32"/>
        </w:rPr>
      </w:pPr>
    </w:p>
    <w:p w14:paraId="28699621">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35DEC954">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本项目年初预算资金总额为140万元，全年预算数为140万元，全年执行数为140万元，预算执行率为100%。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本项目共设置三级指标数量18个，满分指标数量18个，扣分指标数量2个，经分析计算所有三级指标完成率得出，本项目总体完成率为100%。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综上所述本项目预算执行进度与总体完成进度之间无偏差。</w:t>
      </w:r>
    </w:p>
    <w:p w14:paraId="5E5FED31">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78C86B1E">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本项目能够严格按照资金文件执行，项目执行情况较好。二是加强组织领导，本项目绩效评价工作，由镇长任组长，分管副书记任副组长，从项目到资金，均能后很好的执行。三是加强沟通协调，我单位及时向县领导汇报项目建设进度，加强与相关单位的沟通，确保项目按期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w:t>
      </w:r>
    </w:p>
    <w:p w14:paraId="78FF0AE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506C5091">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对各项指标和指标值要进一步优化、完善，主要在细化、量化上改进，二是针对自评价工作还存在自我审定的局限性，会影响评价质量，容易造成问题的疏漏，在客观性和公正性上说服力不强这一问题，对参与绩效评价工作人员进行专业的绩效工作培训，提升业务能力。</w:t>
      </w:r>
    </w:p>
    <w:p w14:paraId="709EE7A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51BE58E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14:paraId="69333079">
      <w:pPr>
        <w:spacing w:line="540" w:lineRule="exact"/>
        <w:ind w:firstLine="567"/>
        <w:rPr>
          <w:rStyle w:val="18"/>
          <w:rFonts w:ascii="仿宋" w:hAnsi="仿宋" w:eastAsia="仿宋"/>
          <w:b w:val="0"/>
          <w:spacing w:val="-4"/>
          <w:sz w:val="32"/>
          <w:szCs w:val="32"/>
        </w:rPr>
      </w:pPr>
    </w:p>
    <w:p w14:paraId="768F9735">
      <w:pPr>
        <w:spacing w:line="540" w:lineRule="exact"/>
        <w:ind w:firstLine="567"/>
        <w:rPr>
          <w:rStyle w:val="18"/>
          <w:rFonts w:ascii="仿宋" w:hAnsi="仿宋" w:eastAsia="仿宋"/>
          <w:b w:val="0"/>
          <w:spacing w:val="-4"/>
          <w:sz w:val="32"/>
          <w:szCs w:val="32"/>
        </w:rPr>
      </w:pPr>
    </w:p>
    <w:p w14:paraId="601E5FCA">
      <w:pPr>
        <w:spacing w:line="540" w:lineRule="exact"/>
        <w:ind w:firstLine="567"/>
        <w:rPr>
          <w:rStyle w:val="18"/>
          <w:rFonts w:ascii="仿宋" w:hAnsi="仿宋" w:eastAsia="仿宋"/>
          <w:b w:val="0"/>
          <w:spacing w:val="-4"/>
          <w:sz w:val="32"/>
          <w:szCs w:val="32"/>
        </w:rPr>
      </w:pPr>
    </w:p>
    <w:p w14:paraId="062CC206">
      <w:pPr>
        <w:spacing w:line="540" w:lineRule="exact"/>
        <w:ind w:firstLine="567"/>
        <w:rPr>
          <w:rStyle w:val="18"/>
          <w:rFonts w:ascii="仿宋" w:hAnsi="仿宋" w:eastAsia="仿宋"/>
          <w:b w:val="0"/>
          <w:spacing w:val="-4"/>
          <w:sz w:val="32"/>
          <w:szCs w:val="32"/>
        </w:rPr>
      </w:pPr>
    </w:p>
    <w:p w14:paraId="19E112EC">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5B1F8BB-E4E0-4770-B052-B60F6563D9C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68813BE8-E0F1-4387-982E-A0E06DF43CF1}"/>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CF486DEB-4446-4214-B2A4-A28B4502B931}"/>
  </w:font>
  <w:font w:name="华文中宋">
    <w:panose1 w:val="02010600040101010101"/>
    <w:charset w:val="86"/>
    <w:family w:val="auto"/>
    <w:pitch w:val="default"/>
    <w:sig w:usb0="00000287" w:usb1="080F0000" w:usb2="00000000" w:usb3="00000000" w:csb0="0004009F" w:csb1="DFD70000"/>
    <w:embedRegular r:id="rId4" w:fontKey="{30E82390-1D13-4ED4-8E91-12940260EBD0}"/>
  </w:font>
  <w:font w:name="方正小标宋_GBK">
    <w:panose1 w:val="02000000000000000000"/>
    <w:charset w:val="86"/>
    <w:family w:val="script"/>
    <w:pitch w:val="default"/>
    <w:sig w:usb0="A00002BF" w:usb1="38CF7CFA" w:usb2="00082016" w:usb3="00000000" w:csb0="00040001" w:csb1="00000000"/>
    <w:embedRegular r:id="rId5" w:fontKey="{BAD4CBE1-406C-434E-A3FD-0165C741AEF5}"/>
  </w:font>
  <w:font w:name="仿宋_GB2312">
    <w:panose1 w:val="02010609030101010101"/>
    <w:charset w:val="86"/>
    <w:family w:val="modern"/>
    <w:pitch w:val="default"/>
    <w:sig w:usb0="00000001" w:usb1="080E0000" w:usb2="00000000" w:usb3="00000000" w:csb0="00040000" w:csb1="00000000"/>
    <w:embedRegular r:id="rId6" w:fontKey="{D98721C7-CB2A-4DE8-B3F5-805DACD9966F}"/>
  </w:font>
  <w:font w:name="楷体">
    <w:panose1 w:val="02010609060101010101"/>
    <w:charset w:val="86"/>
    <w:family w:val="modern"/>
    <w:pitch w:val="default"/>
    <w:sig w:usb0="800002BF" w:usb1="38CF7CFA" w:usb2="00000016" w:usb3="00000000" w:csb0="00040001" w:csb1="00000000"/>
    <w:embedRegular r:id="rId7" w:fontKey="{0D196BED-FF7C-415B-936E-3AA47EC8CF1F}"/>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51E7693">
        <w:pPr>
          <w:pStyle w:val="12"/>
          <w:jc w:val="center"/>
        </w:pPr>
        <w:r>
          <w:fldChar w:fldCharType="begin"/>
        </w:r>
        <w:r>
          <w:instrText xml:space="preserve">PAGE   \* MERGEFORMAT</w:instrText>
        </w:r>
        <w:r>
          <w:fldChar w:fldCharType="separate"/>
        </w:r>
        <w:r>
          <w:rPr>
            <w:lang w:val="zh-CN"/>
          </w:rPr>
          <w:t>2</w:t>
        </w:r>
        <w:r>
          <w:fldChar w:fldCharType="end"/>
        </w:r>
      </w:p>
    </w:sdtContent>
  </w:sdt>
  <w:p w14:paraId="76E0738D">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0852E15"/>
    <w:rsid w:val="32A221C5"/>
    <w:rsid w:val="33F20F2A"/>
    <w:rsid w:val="34C44675"/>
    <w:rsid w:val="3B5B5607"/>
    <w:rsid w:val="3CE21B3C"/>
    <w:rsid w:val="4D2606A1"/>
    <w:rsid w:val="51830480"/>
    <w:rsid w:val="53A616BE"/>
    <w:rsid w:val="54662BFB"/>
    <w:rsid w:val="5E9C215A"/>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7212</Words>
  <Characters>7510</Characters>
  <Lines>4</Lines>
  <Paragraphs>1</Paragraphs>
  <TotalTime>2</TotalTime>
  <ScaleCrop>false</ScaleCrop>
  <LinksUpToDate>false</LinksUpToDate>
  <CharactersWithSpaces>7537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来财&amp;十个晴天</cp:lastModifiedBy>
  <cp:lastPrinted>2018-12-31T10:56:00Z</cp:lastPrinted>
  <dcterms:modified xsi:type="dcterms:W3CDTF">2025-10-16T04:19:53Z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C734C92AAAF24344A0E4232D8EB3359B</vt:lpwstr>
  </property>
  <property fmtid="{D5CDD505-2E9C-101B-9397-08002B2CF9AE}" pid="4" name="KSOTemplateDocerSaveRecord">
    <vt:lpwstr>eyJoZGlkIjoiMGIxZTI3ODM4ZmVjOGE5NDFiYmE3OTRiMjQ5OTEyNzIiLCJ1c2VySWQiOiIzNzI2MDMzNTYifQ==</vt:lpwstr>
  </property>
</Properties>
</file>