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1633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331199CA">
      <w:pPr>
        <w:spacing w:line="540" w:lineRule="exact"/>
        <w:jc w:val="center"/>
        <w:rPr>
          <w:rFonts w:ascii="华文中宋" w:hAnsi="华文中宋" w:eastAsia="华文中宋" w:cs="宋体"/>
          <w:b/>
          <w:kern w:val="0"/>
          <w:sz w:val="52"/>
          <w:szCs w:val="52"/>
        </w:rPr>
      </w:pPr>
    </w:p>
    <w:p w14:paraId="104F51C1">
      <w:pPr>
        <w:spacing w:line="540" w:lineRule="exact"/>
        <w:jc w:val="center"/>
        <w:rPr>
          <w:rFonts w:ascii="华文中宋" w:hAnsi="华文中宋" w:eastAsia="华文中宋" w:cs="宋体"/>
          <w:b/>
          <w:kern w:val="0"/>
          <w:sz w:val="52"/>
          <w:szCs w:val="52"/>
        </w:rPr>
      </w:pPr>
    </w:p>
    <w:p w14:paraId="77672C01">
      <w:pPr>
        <w:spacing w:line="540" w:lineRule="exact"/>
        <w:jc w:val="center"/>
        <w:rPr>
          <w:rFonts w:ascii="华文中宋" w:hAnsi="华文中宋" w:eastAsia="华文中宋" w:cs="宋体"/>
          <w:b/>
          <w:kern w:val="0"/>
          <w:sz w:val="52"/>
          <w:szCs w:val="52"/>
        </w:rPr>
      </w:pPr>
    </w:p>
    <w:p w14:paraId="19C96B13">
      <w:pPr>
        <w:spacing w:line="540" w:lineRule="exact"/>
        <w:jc w:val="center"/>
        <w:rPr>
          <w:rFonts w:ascii="华文中宋" w:hAnsi="华文中宋" w:eastAsia="华文中宋" w:cs="宋体"/>
          <w:b/>
          <w:kern w:val="0"/>
          <w:sz w:val="52"/>
          <w:szCs w:val="52"/>
        </w:rPr>
      </w:pPr>
    </w:p>
    <w:p w14:paraId="435E3178">
      <w:pPr>
        <w:spacing w:line="540" w:lineRule="exact"/>
        <w:jc w:val="center"/>
        <w:rPr>
          <w:rFonts w:ascii="华文中宋" w:hAnsi="华文中宋" w:eastAsia="华文中宋" w:cs="宋体"/>
          <w:b/>
          <w:kern w:val="0"/>
          <w:sz w:val="52"/>
          <w:szCs w:val="52"/>
        </w:rPr>
      </w:pPr>
    </w:p>
    <w:p w14:paraId="34E8C362">
      <w:pPr>
        <w:spacing w:line="540" w:lineRule="exact"/>
        <w:jc w:val="center"/>
        <w:rPr>
          <w:rFonts w:ascii="华文中宋" w:hAnsi="华文中宋" w:eastAsia="华文中宋" w:cs="宋体"/>
          <w:b/>
          <w:kern w:val="0"/>
          <w:sz w:val="52"/>
          <w:szCs w:val="52"/>
        </w:rPr>
      </w:pPr>
    </w:p>
    <w:p w14:paraId="5FD2A41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9B5D582">
      <w:pPr>
        <w:spacing w:line="540" w:lineRule="exact"/>
        <w:jc w:val="center"/>
        <w:rPr>
          <w:rFonts w:ascii="华文中宋" w:hAnsi="华文中宋" w:eastAsia="华文中宋" w:cs="宋体"/>
          <w:b/>
          <w:kern w:val="0"/>
          <w:sz w:val="52"/>
          <w:szCs w:val="52"/>
        </w:rPr>
      </w:pPr>
    </w:p>
    <w:p w14:paraId="5A8E098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2069C9A">
      <w:pPr>
        <w:spacing w:line="540" w:lineRule="exact"/>
        <w:jc w:val="center"/>
        <w:rPr>
          <w:rFonts w:hAnsi="宋体" w:eastAsia="仿宋_GB2312" w:cs="宋体"/>
          <w:kern w:val="0"/>
          <w:sz w:val="30"/>
          <w:szCs w:val="30"/>
        </w:rPr>
      </w:pPr>
    </w:p>
    <w:p w14:paraId="3CD11A26">
      <w:pPr>
        <w:spacing w:line="540" w:lineRule="exact"/>
        <w:jc w:val="center"/>
        <w:rPr>
          <w:rFonts w:hAnsi="宋体" w:eastAsia="仿宋_GB2312" w:cs="宋体"/>
          <w:kern w:val="0"/>
          <w:sz w:val="30"/>
          <w:szCs w:val="30"/>
        </w:rPr>
      </w:pPr>
    </w:p>
    <w:p w14:paraId="3918C4B6">
      <w:pPr>
        <w:spacing w:line="540" w:lineRule="exact"/>
        <w:jc w:val="center"/>
        <w:rPr>
          <w:rFonts w:hAnsi="宋体" w:eastAsia="仿宋_GB2312" w:cs="宋体"/>
          <w:kern w:val="0"/>
          <w:sz w:val="30"/>
          <w:szCs w:val="30"/>
        </w:rPr>
      </w:pPr>
    </w:p>
    <w:p w14:paraId="4CFE1C9B">
      <w:pPr>
        <w:spacing w:line="540" w:lineRule="exact"/>
        <w:jc w:val="center"/>
        <w:rPr>
          <w:rFonts w:hAnsi="宋体" w:eastAsia="仿宋_GB2312" w:cs="宋体"/>
          <w:kern w:val="0"/>
          <w:sz w:val="30"/>
          <w:szCs w:val="30"/>
        </w:rPr>
      </w:pPr>
    </w:p>
    <w:p w14:paraId="7A68B69F">
      <w:pPr>
        <w:spacing w:line="540" w:lineRule="exact"/>
        <w:jc w:val="center"/>
        <w:rPr>
          <w:rFonts w:hAnsi="宋体" w:eastAsia="仿宋_GB2312" w:cs="宋体"/>
          <w:kern w:val="0"/>
          <w:sz w:val="30"/>
          <w:szCs w:val="30"/>
        </w:rPr>
      </w:pPr>
    </w:p>
    <w:p w14:paraId="7850DD2E">
      <w:pPr>
        <w:spacing w:line="540" w:lineRule="exact"/>
        <w:jc w:val="center"/>
        <w:rPr>
          <w:rFonts w:hAnsi="宋体" w:eastAsia="仿宋_GB2312" w:cs="宋体"/>
          <w:kern w:val="0"/>
          <w:sz w:val="30"/>
          <w:szCs w:val="30"/>
        </w:rPr>
      </w:pPr>
    </w:p>
    <w:p w14:paraId="72714589">
      <w:pPr>
        <w:spacing w:line="540" w:lineRule="exact"/>
        <w:rPr>
          <w:rFonts w:hAnsi="宋体" w:eastAsia="仿宋_GB2312" w:cs="宋体"/>
          <w:kern w:val="0"/>
          <w:sz w:val="30"/>
          <w:szCs w:val="30"/>
        </w:rPr>
      </w:pPr>
    </w:p>
    <w:p w14:paraId="721C7AA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94802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吉木萨尔县2022年车购税清算资金</w:t>
      </w:r>
    </w:p>
    <w:p w14:paraId="61A82D8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吉木萨尔县交通局本级</w:t>
      </w:r>
    </w:p>
    <w:p w14:paraId="436FF9B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吉木萨尔县交通局本级</w:t>
      </w:r>
    </w:p>
    <w:p w14:paraId="5C9250D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刘祥</w:t>
      </w:r>
    </w:p>
    <w:p w14:paraId="53DAAC6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3BB8BF32">
      <w:pPr>
        <w:spacing w:line="700" w:lineRule="exact"/>
        <w:ind w:firstLine="708" w:firstLineChars="236"/>
        <w:jc w:val="left"/>
        <w:rPr>
          <w:rFonts w:hAnsi="宋体" w:eastAsia="仿宋_GB2312" w:cs="宋体"/>
          <w:kern w:val="0"/>
          <w:sz w:val="30"/>
          <w:szCs w:val="30"/>
        </w:rPr>
      </w:pPr>
    </w:p>
    <w:p w14:paraId="5C513323">
      <w:pPr>
        <w:spacing w:line="540" w:lineRule="exact"/>
        <w:rPr>
          <w:rStyle w:val="18"/>
          <w:rFonts w:ascii="黑体" w:hAnsi="黑体" w:eastAsia="黑体"/>
          <w:b w:val="0"/>
          <w:spacing w:val="-4"/>
          <w:sz w:val="32"/>
          <w:szCs w:val="32"/>
        </w:rPr>
      </w:pPr>
    </w:p>
    <w:p w14:paraId="646BC5B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175E23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77913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为进一步改善居民出行条件，提高地区公路运输条件，缩短运营时间，促进乡镇旅游业和农业。畜牧业发展具有重要作用。完善吉木萨尔县域路网结构，坚持以人为本，切实提高群众满意度，切实改变“闭眼难见三春景，出水才看两腿泥”的状况，吉木萨尔县2022年车购税农村公路建设项目（第一批），总投资3465.950万元，其中上级补助资金2228.13万元，完成铺设长度为50.09公里的农村公路附属设施建设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项目名称：吉木萨尔县2022年车购税清算资金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项目主要内容：路线长50.091km，由多条路线和交叉口组成，主要建设内容为路基路面，桥涵及其交通附属设施，设计时速20km/ h ，路基、路面宽度6.5m/6.0m、5.5m/5.0m、4.5m/4.0m3.5m/3.0m不等。农村公路安全隐患里程61.015公里，主要建设内容为农村公路的标志标牌，标线，挡墙，轮廓标，钢护柱，波形梁钢护栏等公路附属设施。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实施主体：吉木萨尔县交通运输局。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实施时间：该项目实施时间为2023年1月-2023年12月。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于2022年8月开工建设，主要实施包括路线长50.091km，由多条路线和交叉口组成，主要建设内容为路基路面，桥涵及其交通附属设施，设计时速20km/h，路基、路面宽度6.5m/6.0m、5.5m/5.0m、4.5m/4.0m3.5m/3.0m不等。农村公路安全隐患里程61.015公里，主要建设内容为农村公路的标志标牌，标线，挡墙，轮廓标，钢护柱，波形梁钢护栏等公路附属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一是贯彻落实国家、自治区、自治州有关公路交通运输行业的法律、法规、规章和措施，并组织实施和监督检查。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二是拟订县农村公路网、交通运输业发展规划和中长期计划并监督实施。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组织县交通运输管理工作。承担辖区内城市客运线路、车辆、站场等管理工作；做好本行业交通运输安全生产的监督管理工作；负责组织和监督城市客运燃油消耗申报及油价补贴专项资金发放工作；负责城市公交、出租汽车管理工作；指导县交通运输行业体制改革；培育和管理交通运输市场，维护交通运输行业的平等竞争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承担农村公路建设市场监管工作。监督实施农村公路工程建设相关政策、制度和技术标准，组织协调县农村公路工程建设和工程质量、安全生产监督管理工作，维护交通基础设施建设秩序。负责辖区内农村公路交通基础设施的建设、管理和维护工作。负责权限内交通运输许可工作，负责全县农村公路路政管理工作，依法保护农村公路路产路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是承担县农村公路养护管理责任。编制并上报农村公路养护建议计划，管理农村公路养护资金，组织培训养护管理人员，组织实施并指导监督农村公路管理养护工作；依法组织编制公路灾害防治预案、专项应急预案，报县人民政府批准后实施。负责县农村公路的安全保护工作。负责农村公路货运车辆超限治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是负责并指导全县交通运输行业统计工作；负责做好全县农村公路及客运站点建设的财务管理及统计工作，配合相关单位做好农村公路及客运站点建设的项目审计工作；配合物价部门拟订交通运输行业价格，会同有关部门监督执行交通行业价格、税收及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七是指导全县交通运输行业体制改革。会同县有关部门培育交通运输市场、交通建设市场，负责管理农村公路养护市场。负责交通运输行业信用体系建设工作。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是负责全县交通运输行业安全生产的监督管理。督促和指导城市客运企业和行业管理部门落实安全生产主体责任；制定有关交通运输安全生产和应急管理制度，指导有关安全生产和应急处置体系建设，制定交通运输行业安全稳定工作预案，组织开展应急救援演练工作；组织开展交通运输行业安全生产大检查专项整治，监督道路运输、农村公路建设、客运站场的各类安全隐患整改落实，配合有关部门开展交通安全专项整治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九是贯彻执行交通行业科技政策、技术标准和规范；做好全县交通运输行业职业教育、职工队伍建设和精神文明建设工作；做好交通运输行业环境保护和节能减排工作。组织交通运输行业统计、运行分析工作。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十是监督指导交通运输综合行政执法工作，负责做好交通运输行业的</w:t>
      </w:r>
      <w:r>
        <w:rPr>
          <w:rStyle w:val="18"/>
          <w:rFonts w:hint="eastAsia" w:ascii="楷体" w:hAnsi="楷体" w:eastAsia="楷体"/>
          <w:b w:val="0"/>
          <w:bCs w:val="0"/>
          <w:spacing w:val="-4"/>
          <w:sz w:val="32"/>
          <w:szCs w:val="32"/>
          <w:lang w:eastAsia="zh-CN"/>
        </w:rPr>
        <w:t>法治宣传</w:t>
      </w:r>
      <w:r>
        <w:rPr>
          <w:rStyle w:val="18"/>
          <w:rFonts w:hint="eastAsia" w:ascii="楷体" w:hAnsi="楷体" w:eastAsia="楷体"/>
          <w:b w:val="0"/>
          <w:bCs w:val="0"/>
          <w:spacing w:val="-4"/>
          <w:sz w:val="32"/>
          <w:szCs w:val="32"/>
        </w:rPr>
        <w:t>、行政复议、行政应诉、行政执法和监督工作。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十一是负责全县交通战备工作。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十二是完成县党委、县人民政府交办的其他任务。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吉木萨尔县交通运输局现有4个内设科室:即行政办公室、质量监督科、路政稽查科、运输管理科。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本项目预算安排总额为617.32万元，资金来源为上级补助资金，2023年实际收到预算资金617.32万元，预算资金到位率为100%。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截至2023年12月31日，本项目实际支付资金617.32万元，预算执行率100%。项目资金主要用于支付施工费617.32万元。</w:t>
      </w:r>
    </w:p>
    <w:p w14:paraId="4F4338B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430EF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建设里程50.091公里四级农村公路，主要实施内容为路基路面桥涵及其交通附属设施。本项目的实施将完善该区域的交通网。农村公路对干线公路网起着重要的支撑和集散作用，以发挥公路网的整体效益目前项目区基础设施较为落后，项目的建成将会进一步完善吉木萨尔县的公路网络，延伸公路网的通达程度，提高公路网的有效连通，充分发挥公路网内引外联，干支循环，乡镇通畅的整体功能，促进区域基础设施的完善，带动项目区域的经济发展。居民出行的大部分时间用在公路上，农副产品不能及时运出，严重影响了当地居民的正常社会、经济文化交流，导致农民收入减少，当地群众迫切要求进行道路的修建，提高公路的服务水平，缩短客、货流运输的在途时间，以满足当地经济发展和居民快速、便捷、安全的出行要求。本项目的建成将极大改善沿线居民民出行条件，完善区域基础设施，完善区域交通网，所以本项目的建设势在必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“新建农村公路里程”指标，预期指标值为等于50.09公里；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“新建农村公路合格率”指标，预期指标值为等于100%；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“项目及时完工率”指标，预期指标值为等于100%；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“项目完工时间”指标，预期指标值为2023年12月底前；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“新建农村公路单公里造价”指标，预期指标值为小于等于60万元；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“受益人口数”指标，预期指标值为大于等于6845人；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“受益自然村数量”指标，预期指标值为大于等于36个；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“受益群众满意度”指标，预期指标值为大于等于90%。</w:t>
      </w:r>
    </w:p>
    <w:p w14:paraId="6811B5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9A4B66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49DB4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吉木萨尔县2022年车购税清算资金项目开展部门绩效评价，评价核心内容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（12）《关于吉木萨尔县2022年车购税农村公路建设项目可行性研究报告（代项目建议书）批复的申请》（吉公养字〔2022〕8号）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（13）《关于吉木萨尔县2022年车购税农村公路建设项目工程可行性研究报告（代项目建议书）批复》（吉县发改〔2022〕111号）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（14）《关于下达2023年车辆购置税收入补助地方（第二批）用于农村公路建设“以奖代补”清算资金预算的通知》（昌州财建〔2023〕53号）</w:t>
      </w:r>
    </w:p>
    <w:p w14:paraId="090B6D7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B7F7B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设置指标体系结构如下：设置一级指标共4个，包括：决策指标（21%）、过程指标（19%）、产出指标（30%）、效益指标（30%）四类指标，具体指标分类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852E7C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3D5438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张德军（评价小组组长）：主要负责项目策划和监督，全面负责项目绩效评价办稿的最终质量，对评估人员出具的最终报告质量进行复核，确保评估结果的客观性；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刘祥（评价小组组员）：主要负责资料的收集，取证、数据统计分析；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李晓山（评价小组组员）：主要负责主要负责项目报告的制定，指标的研判，数据分析及报告撰写。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2024年3月5日-3月12日，评价工作进入实施阶段。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2024年3月13日-3月16日，评价小组按照绩效评价的原则和规范，对取得的资料进行审查核实，对采集的数据进行分析，按照绩效评价指标评分表逐项进行打分、分析、汇总各方评价结果。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2024年3月17日-3月24日，评价小组撰写绩效评价报告，按照新疆维吾尔自治区财政绩效管理信息系统绩效评价模块中统一格式和文本框架撰写绩效评价报告并提交审核。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BF942D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A17BF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概要项目决策和过程管理的情况，对主要完成工作及效益实现情况以及工作不足进行总结，如：通过项目的实施，完成了2022年车购税清算资金项目产出目标，在实施过程中取得了良好的成效，具体表现在以下两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在项目决策方面：吉木萨尔县2022年车购税农村公路建设项目（第一批）立项依据充分，立项程序规范。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2022年本项目预算安排617.32万元，实际支出617.32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方面：计划新建道路长度大于等于50.09km，改善道路沿线居民出行条件，农村公路对经济发展的促进作用，有效提升基本公共服务水平，已完成工程质量合格率等于100%，项目工程及时开工率等于100%，资金支及时率付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项目效益方面：有效提高环境整治及交通出行安全，为沿线居民带来经济收入，改善当地居民出行条件。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3A064DC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EF32BE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8164E4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关于拨付2022年车辆购置税收入补助地方资金预算（第一批）的通知》（昌州财建〔2022〕51号）、《关于下达2023年车辆购置税收入补助地方（第二批）用于农村公路建设“以奖代补”清算资金预算的通知》（昌州财建〔2023〕53号）、《关于吉木萨尔县2022年车购税农村公路建设项目工程可行性研究报告（代项目建议书）批复》（吉县发改〔2022〕111号）等相关政策。项目立项与“负责辖区内农村公路交通基础设施的建设、管理和维护工作”这一部门职责范围相符，属于部门履职所需。根据《中华人民共和国预算法》属于公共财政支持范围，符合中央、地方事权支出责任划分原则，经检查财政项目指标大平台，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关于拨付2022年车辆购置税收入补助地方资金预算（第一批）的通知》（昌州财建〔2022〕51号）、《关于吉木萨尔县2022年车购税农村公路建设项目可行性研究报告（代项目建议书）批复的申请》（吉公养字〔2022〕8号）的文件要求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①本项目已设置年度绩效目标，具体内容为“完成建设内容为50.09四级农村公路，主要实施内容为路基路面桥涵及其交通附属设施”。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②本项目实际工作为：完成建设内容为50.09四级农村公路，主要实施内容为路基路面桥涵及其交通附属设施。。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③本项目按照绩效目标完成完成建设内容为50.09四级农村公路，改善道路沿线居民出行条件，农村公路对经济发展的促进作用，有效提升基本公共服务水平。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④该项目批复的预算金额为617.32万元，《财政项目支出绩效目标表》中预算金额为617.32万元，预算确定的项目资金与预算确定的项目投资额相匹配。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综上所述，该指标满分4分，根据评分标准得4分，绩效目标设置合理。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8个，定量指标7个，定性指标1个，指标量化率为87.50%，量化率达70%以上。该《项目绩效目标申报表》中，数量指标值为完成新建公路里程50.09km，三级指标的年度指标值与年度绩效目标中任务数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①本项目预算编制通过前期调研和类似项目对比分析，预算编制较科学且经过论证。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②预算申请内容为617.32万元，本项目资金主要用于支付资金，预算申请与《吉木萨尔县2022年车购税农村公路建设项目（第一批）实施方案》中涉及的项目内容匹配。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③本项目预算申请资金617.32万元，我单位在预算申请中严格按照单位标准和数量进行核算，其中：支付施工费617.32万元。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资金分配与实际相适应，实际分配资金与《吉木萨尔县2022年车购税农村公路建设项目（第一批）实施方案》一致，资金分配额度合理，与我单位实际需求相适应。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综上所述，本指标满分为2分，根据评分标准得2分，本项目资金分配合理。</w:t>
      </w:r>
      <w:r>
        <w:rPr>
          <w:rStyle w:val="18"/>
          <w:rFonts w:hint="eastAsia" w:ascii="楷体" w:hAnsi="楷体" w:eastAsia="楷体"/>
          <w:b w:val="0"/>
          <w:bCs w:val="0"/>
          <w:spacing w:val="-4"/>
          <w:sz w:val="32"/>
          <w:szCs w:val="32"/>
        </w:rPr>
        <w:tab/>
      </w:r>
    </w:p>
    <w:p w14:paraId="774C9F9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1A04FC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本项目预算资金为617.32万元，实际到位资金617.32万元，资金到位率=（617.32/617.32）×100%=100%。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2023年12月底，本项目实际支出资金617.32万元，预算执行率100%。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制定了相关的制度和管理规定对经费使用进行规范管理，财务制度健全、执行严格，并按照吉木萨尔县2022年车购税农村公路建设项目（第一批）合同约定付款方式进行支付。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综上所述，本指标满分为5分，根据评分标准得5分,本项目资金使用合规。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吉木萨尔县交通运输局专项资金管理办法》、《吉木萨尔县交通运输局财务管理制度》、《吉木萨尔县交通运输局财务内部控制制度》、《吉木萨尔县交通运输局财务档案管理制度》，对财政专项资金进行严格管理，并按照吉木萨尔县2022年车购税农村公路建设项目（第一批）实施方案等，基本做到了专款专用，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由部门提出经费预算支出可行性方案，经过与县政府分管领导沟通后，报党支部会议研究执行，财务对资金的使用合法合规性进行监督，年底对资金使用效果进行自评，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2022年车购税清算资金项目工作领导小组，由张德军任组长，负责项目的组织工作；刘祥任副组长，负责项目的实施工作；组员包括：李晓山，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4580E9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F57E7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“新建农村公路里程”指标：预期指标值为50.09公里，实际完成指标值为50.09公里，指标完成率为100%。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“新建农村公路合格率”指标：预期指标值为100%，实际完成指标值为100%，指标完成率为100%。综上所述，本指标满分为6分，根据评分标准得6分。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“项目及时完工率”指标：预期指标值为100%，实际完成指标值为100%，指标完成率为100%。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“项目完工时间”指标：预期指标值为2023年12月底前，实际完成指标值为基本达成目标，指标完成率为100%。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综上所述，本指标满分为12分，根据评分标准得12分。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“新建农村公路单公里造价”指标：预期指标值为“≤60万元”，实际完成指标值为“=60万元”，指标完成率为100%。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5C6D8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D99F7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“受益人口数”指标：预期指标值为大于等于6845人，实际完成指标值为等于6845人，指标完成率为100%。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“受益自然村数量”指标：预期指标值为大于等于36个，实际完成指标值为等于36个，指标完成率为100%。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受益群众满意度”指标：预期指标值为大于等于90%，实际完成指标值为90%，指标完成率为100%。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04D52B8C">
      <w:pPr>
        <w:spacing w:line="540" w:lineRule="exact"/>
        <w:ind w:firstLine="567"/>
        <w:rPr>
          <w:rStyle w:val="18"/>
          <w:rFonts w:ascii="楷体" w:hAnsi="楷体" w:eastAsia="楷体"/>
          <w:spacing w:val="-4"/>
          <w:sz w:val="32"/>
          <w:szCs w:val="32"/>
        </w:rPr>
      </w:pPr>
    </w:p>
    <w:p w14:paraId="03A0E1D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7611679">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本项目年初预算资金总额为617.32万元，全年预算数为617.32万元，全年执行数为617.32万元，预算执行率为100%。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本项目共设置三级指标数量19个，满分指标数量19个，经分析计算所有三级指标完成率得出，本项目总体完成率为100%。</w:t>
      </w:r>
    </w:p>
    <w:p w14:paraId="5602D03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95C8A1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一是本项目能够严格按照《项目实施方案》执行，事前有安排、事后有总结、项目执行情况较好。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二是加强组织领导，本项目绩效评价工作，单位主要领导亲自挂帅，分管领导具体负责，全单位通力配合、从项目到资金，均能很好的执行。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三是加强沟通协调，单位各相关科室之间相互沟通，集中主要力量，确保项目按期完成。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一是对各项指标和指标值要进一步优化、完善，主要在细化、量化上改进，并与具体工作紧密配合，做到客观、如实的评价项目工作。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二是自评价工作还存在自我审定的局限性，会影响评价质量，容易造成问题的疏漏，在客观性和公正性上说服力不强。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三是缺少带着问题去评价的意识，评价不够细致深入。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四是现场评价的方法有限，后续效益评价具体措施和方法较少。</w:t>
      </w:r>
    </w:p>
    <w:p w14:paraId="01E9D1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310E87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1.项目评价资料有待进一步完善。项目启动时同步做好档案的归纳与整理，及时整理、收集、汇总，健全档案资料。项目后续管理有待进一步加强和跟踪。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2.通过绩效管理，发现实施中存在漏洞，以后加强管理，及时掌握与之相关的各类信息，减少成本，使资金效益最大化。</w:t>
      </w:r>
    </w:p>
    <w:p w14:paraId="7F523EF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AAEA2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C6CA11F">
      <w:pPr>
        <w:spacing w:line="540" w:lineRule="exact"/>
        <w:ind w:firstLine="567"/>
        <w:rPr>
          <w:rStyle w:val="18"/>
          <w:rFonts w:ascii="仿宋" w:hAnsi="仿宋" w:eastAsia="仿宋"/>
          <w:b w:val="0"/>
          <w:spacing w:val="-4"/>
          <w:sz w:val="32"/>
          <w:szCs w:val="32"/>
        </w:rPr>
      </w:pPr>
    </w:p>
    <w:p w14:paraId="3F14E9C2">
      <w:pPr>
        <w:spacing w:line="540" w:lineRule="exact"/>
        <w:ind w:firstLine="567"/>
        <w:rPr>
          <w:rStyle w:val="18"/>
          <w:rFonts w:ascii="仿宋" w:hAnsi="仿宋" w:eastAsia="仿宋"/>
          <w:b w:val="0"/>
          <w:spacing w:val="-4"/>
          <w:sz w:val="32"/>
          <w:szCs w:val="32"/>
        </w:rPr>
      </w:pPr>
    </w:p>
    <w:p w14:paraId="36D7756A">
      <w:pPr>
        <w:spacing w:line="540" w:lineRule="exact"/>
        <w:ind w:firstLine="567"/>
        <w:rPr>
          <w:rStyle w:val="18"/>
          <w:rFonts w:ascii="仿宋" w:hAnsi="仿宋" w:eastAsia="仿宋"/>
          <w:b w:val="0"/>
          <w:spacing w:val="-4"/>
          <w:sz w:val="32"/>
          <w:szCs w:val="32"/>
        </w:rPr>
      </w:pPr>
    </w:p>
    <w:p w14:paraId="6315A6BE">
      <w:pPr>
        <w:spacing w:line="540" w:lineRule="exact"/>
        <w:ind w:firstLine="567"/>
        <w:rPr>
          <w:rStyle w:val="18"/>
          <w:rFonts w:ascii="仿宋" w:hAnsi="仿宋" w:eastAsia="仿宋"/>
          <w:b w:val="0"/>
          <w:spacing w:val="-4"/>
          <w:sz w:val="32"/>
          <w:szCs w:val="32"/>
        </w:rPr>
      </w:pPr>
    </w:p>
    <w:p w14:paraId="1BBD030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8DC78B">
        <w:pPr>
          <w:pStyle w:val="12"/>
          <w:jc w:val="center"/>
        </w:pPr>
        <w:r>
          <w:fldChar w:fldCharType="begin"/>
        </w:r>
        <w:r>
          <w:instrText xml:space="preserve">PAGE   \* MERGEFORMAT</w:instrText>
        </w:r>
        <w:r>
          <w:fldChar w:fldCharType="separate"/>
        </w:r>
        <w:r>
          <w:rPr>
            <w:lang w:val="zh-CN"/>
          </w:rPr>
          <w:t>2</w:t>
        </w:r>
        <w:r>
          <w:fldChar w:fldCharType="end"/>
        </w:r>
      </w:p>
    </w:sdtContent>
  </w:sdt>
  <w:p w14:paraId="6EE15D4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180FF5"/>
    <w:rsid w:val="15392994"/>
    <w:rsid w:val="18FE139B"/>
    <w:rsid w:val="3029612C"/>
    <w:rsid w:val="32A221C5"/>
    <w:rsid w:val="33F20F2A"/>
    <w:rsid w:val="34C44675"/>
    <w:rsid w:val="3B5B5607"/>
    <w:rsid w:val="3CE21B3C"/>
    <w:rsid w:val="4D2606A1"/>
    <w:rsid w:val="51830480"/>
    <w:rsid w:val="53A616BE"/>
    <w:rsid w:val="54662BFB"/>
    <w:rsid w:val="56FC06CF"/>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3</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2025-10-14T11:05:09Z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