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94B13">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3A28F198">
      <w:pPr>
        <w:spacing w:line="540" w:lineRule="exact"/>
        <w:jc w:val="center"/>
        <w:rPr>
          <w:rFonts w:ascii="华文中宋" w:hAnsi="华文中宋" w:eastAsia="华文中宋" w:cs="宋体"/>
          <w:b/>
          <w:kern w:val="0"/>
          <w:sz w:val="52"/>
          <w:szCs w:val="52"/>
        </w:rPr>
      </w:pPr>
    </w:p>
    <w:p w14:paraId="5655432A">
      <w:pPr>
        <w:spacing w:line="540" w:lineRule="exact"/>
        <w:jc w:val="center"/>
        <w:rPr>
          <w:rFonts w:ascii="华文中宋" w:hAnsi="华文中宋" w:eastAsia="华文中宋" w:cs="宋体"/>
          <w:b/>
          <w:kern w:val="0"/>
          <w:sz w:val="52"/>
          <w:szCs w:val="52"/>
        </w:rPr>
      </w:pPr>
    </w:p>
    <w:p w14:paraId="5DAB04C7">
      <w:pPr>
        <w:spacing w:line="540" w:lineRule="exact"/>
        <w:jc w:val="center"/>
        <w:rPr>
          <w:rFonts w:ascii="华文中宋" w:hAnsi="华文中宋" w:eastAsia="华文中宋" w:cs="宋体"/>
          <w:b/>
          <w:kern w:val="0"/>
          <w:sz w:val="52"/>
          <w:szCs w:val="52"/>
        </w:rPr>
      </w:pPr>
    </w:p>
    <w:p w14:paraId="76BD5304">
      <w:pPr>
        <w:spacing w:line="540" w:lineRule="exact"/>
        <w:jc w:val="center"/>
        <w:rPr>
          <w:rFonts w:ascii="华文中宋" w:hAnsi="华文中宋" w:eastAsia="华文中宋" w:cs="宋体"/>
          <w:b/>
          <w:kern w:val="0"/>
          <w:sz w:val="52"/>
          <w:szCs w:val="52"/>
        </w:rPr>
      </w:pPr>
    </w:p>
    <w:p w14:paraId="0A330811">
      <w:pPr>
        <w:spacing w:line="540" w:lineRule="exact"/>
        <w:jc w:val="center"/>
        <w:rPr>
          <w:rFonts w:ascii="华文中宋" w:hAnsi="华文中宋" w:eastAsia="华文中宋" w:cs="宋体"/>
          <w:b/>
          <w:kern w:val="0"/>
          <w:sz w:val="52"/>
          <w:szCs w:val="52"/>
        </w:rPr>
      </w:pPr>
    </w:p>
    <w:p w14:paraId="74B53489">
      <w:pPr>
        <w:spacing w:line="540" w:lineRule="exact"/>
        <w:jc w:val="center"/>
        <w:rPr>
          <w:rFonts w:ascii="华文中宋" w:hAnsi="华文中宋" w:eastAsia="华文中宋" w:cs="宋体"/>
          <w:b/>
          <w:kern w:val="0"/>
          <w:sz w:val="52"/>
          <w:szCs w:val="52"/>
        </w:rPr>
      </w:pPr>
    </w:p>
    <w:p w14:paraId="43ADB5F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0897F7C">
      <w:pPr>
        <w:spacing w:line="540" w:lineRule="exact"/>
        <w:jc w:val="center"/>
        <w:rPr>
          <w:rFonts w:ascii="华文中宋" w:hAnsi="华文中宋" w:eastAsia="华文中宋" w:cs="宋体"/>
          <w:b/>
          <w:kern w:val="0"/>
          <w:sz w:val="52"/>
          <w:szCs w:val="52"/>
        </w:rPr>
      </w:pPr>
    </w:p>
    <w:p w14:paraId="36B0997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14EE832">
      <w:pPr>
        <w:spacing w:line="540" w:lineRule="exact"/>
        <w:jc w:val="center"/>
        <w:rPr>
          <w:rFonts w:hAnsi="宋体" w:eastAsia="仿宋_GB2312" w:cs="宋体"/>
          <w:kern w:val="0"/>
          <w:sz w:val="30"/>
          <w:szCs w:val="30"/>
        </w:rPr>
      </w:pPr>
    </w:p>
    <w:p w14:paraId="47B3F308">
      <w:pPr>
        <w:spacing w:line="540" w:lineRule="exact"/>
        <w:jc w:val="center"/>
        <w:rPr>
          <w:rFonts w:hAnsi="宋体" w:eastAsia="仿宋_GB2312" w:cs="宋体"/>
          <w:kern w:val="0"/>
          <w:sz w:val="30"/>
          <w:szCs w:val="30"/>
        </w:rPr>
      </w:pPr>
    </w:p>
    <w:p w14:paraId="409DEA61">
      <w:pPr>
        <w:spacing w:line="540" w:lineRule="exact"/>
        <w:jc w:val="center"/>
        <w:rPr>
          <w:rFonts w:hAnsi="宋体" w:eastAsia="仿宋_GB2312" w:cs="宋体"/>
          <w:kern w:val="0"/>
          <w:sz w:val="30"/>
          <w:szCs w:val="30"/>
        </w:rPr>
      </w:pPr>
    </w:p>
    <w:p w14:paraId="2FF86F23">
      <w:pPr>
        <w:spacing w:line="540" w:lineRule="exact"/>
        <w:jc w:val="center"/>
        <w:rPr>
          <w:rFonts w:hAnsi="宋体" w:eastAsia="仿宋_GB2312" w:cs="宋体"/>
          <w:kern w:val="0"/>
          <w:sz w:val="30"/>
          <w:szCs w:val="30"/>
        </w:rPr>
      </w:pPr>
    </w:p>
    <w:p w14:paraId="1E9A2A69">
      <w:pPr>
        <w:spacing w:line="540" w:lineRule="exact"/>
        <w:jc w:val="center"/>
        <w:rPr>
          <w:rFonts w:hAnsi="宋体" w:eastAsia="仿宋_GB2312" w:cs="宋体"/>
          <w:kern w:val="0"/>
          <w:sz w:val="30"/>
          <w:szCs w:val="30"/>
        </w:rPr>
      </w:pPr>
    </w:p>
    <w:p w14:paraId="2E541D24">
      <w:pPr>
        <w:spacing w:line="540" w:lineRule="exact"/>
        <w:jc w:val="center"/>
        <w:rPr>
          <w:rFonts w:hAnsi="宋体" w:eastAsia="仿宋_GB2312" w:cs="宋体"/>
          <w:kern w:val="0"/>
          <w:sz w:val="30"/>
          <w:szCs w:val="30"/>
        </w:rPr>
      </w:pPr>
    </w:p>
    <w:p w14:paraId="1FF8E990">
      <w:pPr>
        <w:spacing w:line="540" w:lineRule="exact"/>
        <w:rPr>
          <w:rFonts w:hAnsi="宋体" w:eastAsia="仿宋_GB2312" w:cs="宋体"/>
          <w:kern w:val="0"/>
          <w:sz w:val="30"/>
          <w:szCs w:val="30"/>
        </w:rPr>
      </w:pPr>
    </w:p>
    <w:p w14:paraId="45C9DCF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EABDDB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市监局追加执法装备经费</w:t>
      </w:r>
    </w:p>
    <w:p w14:paraId="79C47FD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吉木萨尔县市场监督管理局</w:t>
      </w:r>
    </w:p>
    <w:p w14:paraId="66D4BF2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吉木萨尔县市场监督管理局</w:t>
      </w:r>
    </w:p>
    <w:p w14:paraId="48CAB5F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黄振文</w:t>
      </w:r>
    </w:p>
    <w:p w14:paraId="6A5A8A4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14:paraId="0ACD5568">
      <w:pPr>
        <w:spacing w:line="700" w:lineRule="exact"/>
        <w:ind w:firstLine="708" w:firstLineChars="236"/>
        <w:jc w:val="left"/>
        <w:rPr>
          <w:rFonts w:hAnsi="宋体" w:eastAsia="仿宋_GB2312" w:cs="宋体"/>
          <w:kern w:val="0"/>
          <w:sz w:val="30"/>
          <w:szCs w:val="30"/>
        </w:rPr>
      </w:pPr>
    </w:p>
    <w:p w14:paraId="53AA965D">
      <w:pPr>
        <w:spacing w:line="540" w:lineRule="exact"/>
        <w:rPr>
          <w:rStyle w:val="18"/>
          <w:rFonts w:ascii="黑体" w:hAnsi="黑体" w:eastAsia="黑体"/>
          <w:b w:val="0"/>
          <w:spacing w:val="-4"/>
          <w:sz w:val="32"/>
          <w:szCs w:val="32"/>
        </w:rPr>
      </w:pPr>
    </w:p>
    <w:p w14:paraId="22ECED1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3FE825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BDC216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国家市场监督管理总局办公厅印发《关于市场监管基层执法装备配备的指导意见》的通知（市监稽发〔2021〕35号）以及自治区市场监督管理局对昌吉州市场监督管理局下达的函件“关于开展市场监管基层执法装备的函”（2022年2月18日）通知要求，针对市场监督管理基层执法一线装备配备不足等问题，明确了执法装备配备的基本原则、主要内容和使用要求。市场监督管理局承担着全县市场综合监督管理和知识产权管理、市场主体统一登记注册、市场监管和知识产权综合执法、县集贸市场和个体工商户安全生产管理、县食品、药品、化妆品、医疗器械、产品质量和特种设备等的安全监督管理等9类行政权力共646项权责工作。 随着我县经济社会发展，市场主体逐年增加，</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全县登记在册市场主体共有11582户，其中企业2065户，个体工商户8873户，农民专业合作社644户，分布在全县10个乡镇，监管范围点多面广、监管任务繁重、人员紧缺，给监管工作带来一定的难度。根据《指导意见》结合市场监督管理局的实际情况，按照</w:t>
      </w:r>
      <w:r>
        <w:rPr>
          <w:rStyle w:val="18"/>
          <w:rFonts w:hint="eastAsia" w:ascii="楷体" w:hAnsi="楷体" w:eastAsia="楷体"/>
          <w:b w:val="0"/>
          <w:bCs w:val="0"/>
          <w:spacing w:val="-4"/>
          <w:sz w:val="32"/>
          <w:szCs w:val="32"/>
          <w:lang w:eastAsia="zh-CN"/>
        </w:rPr>
        <w:t>行政执法“三项制度”</w:t>
      </w:r>
      <w:r>
        <w:rPr>
          <w:rStyle w:val="18"/>
          <w:rFonts w:hint="eastAsia" w:ascii="楷体" w:hAnsi="楷体" w:eastAsia="楷体"/>
          <w:b w:val="0"/>
          <w:bCs w:val="0"/>
          <w:spacing w:val="-4"/>
          <w:sz w:val="32"/>
          <w:szCs w:val="32"/>
        </w:rPr>
        <w:t>规定，要求2人一组配备一套执法装备，装备包括便携式平板电脑一台、便携式打印机一台、执法记录仪一台，对讲机每人一台，以规范执法行为、提高市场监管效率。结合工作实际我局向财政部门申请购置执法装备合计30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（1）项目名称：市监局追加执法装备经费项目（以下简称“该项目”或“项目”）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（2）项目主要内容：按照</w:t>
      </w:r>
      <w:r>
        <w:rPr>
          <w:rStyle w:val="18"/>
          <w:rFonts w:hint="eastAsia" w:ascii="楷体" w:hAnsi="楷体" w:eastAsia="楷体"/>
          <w:b w:val="0"/>
          <w:bCs w:val="0"/>
          <w:spacing w:val="-4"/>
          <w:sz w:val="32"/>
          <w:szCs w:val="32"/>
          <w:lang w:eastAsia="zh-CN"/>
        </w:rPr>
        <w:t>行政执法“三项制度”</w:t>
      </w:r>
      <w:r>
        <w:rPr>
          <w:rStyle w:val="18"/>
          <w:rFonts w:hint="eastAsia" w:ascii="楷体" w:hAnsi="楷体" w:eastAsia="楷体"/>
          <w:b w:val="0"/>
          <w:bCs w:val="0"/>
          <w:spacing w:val="-4"/>
          <w:sz w:val="32"/>
          <w:szCs w:val="32"/>
        </w:rPr>
        <w:t>（行政执法公示制度、行政执法全过程记录制度、重大执法决定法制审核制度）规定，要求2人一组配备一套执法装备，装备包括便携式平板电脑一台、便携式打印机一台、执法记录仪一台，对讲机每人一台，用以规范执法行为、提高市场监管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实施主体：吉木萨尔县市场监督管理局。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3月30日，报送政府采购申报审批单，采购行政执法智慧监管服务项目，采购金额30万元；根据财政局意见，通过政采云服务市场竞价采购；根据竞价结果，2023年5月25日，与中国联合网络通信有限公司昌吉回族自治州分公司签订中国联通系统行政执法智慧监管服务平台集成项目合同，项目内容包括基础音视频模块1套、案件处理流程1套、执法记录仪74套、数据采集工作站1台、平板电脑37套、保密芯片37个、碳带打印机37台，并进行调试。2023年7月经验收货品齐全、验收合格，符合</w:t>
      </w:r>
      <w:r>
        <w:rPr>
          <w:rStyle w:val="18"/>
          <w:rFonts w:hint="eastAsia" w:ascii="楷体" w:hAnsi="楷体" w:eastAsia="楷体"/>
          <w:b w:val="0"/>
          <w:bCs w:val="0"/>
          <w:spacing w:val="-4"/>
          <w:sz w:val="32"/>
          <w:szCs w:val="32"/>
          <w:lang w:eastAsia="zh-CN"/>
        </w:rPr>
        <w:t>行政执法“三项制度”</w:t>
      </w:r>
      <w:r>
        <w:rPr>
          <w:rStyle w:val="18"/>
          <w:rFonts w:hint="eastAsia" w:ascii="楷体" w:hAnsi="楷体" w:eastAsia="楷体"/>
          <w:b w:val="0"/>
          <w:bCs w:val="0"/>
          <w:spacing w:val="-4"/>
          <w:sz w:val="32"/>
          <w:szCs w:val="32"/>
        </w:rPr>
        <w:t>相关要求。2023年吉木萨尔县市场监督管理局以党的二十大精神为指导，全面贯彻新发展理念，深入贯彻落实县委、县政府重点工作部署，系统推进“服务型执法”部门建设，不断优化公平有序的竞争环境、便捷高效的营商环境、安全放心的消费环境、规范公正的法治四大环境，更好地服务和融入新发展格局，全面服务我县经济高质量发展。2023年食品生产企业监督检查、药店监督检查、乡镇卫生院、村卫生室监督检查、特种设备使用单位检查覆盖率达100%；行政执法人员执法装备配备74台，行政执法人员满意度达97.5%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负责县市场综合监督管理和知识产权管理。二是负责县市场主体统一登记注册。三是负责县市场监督和知识产权综合执法工作。四是配合上级部门开展反垄断统一执法。五是负责县集贸市场和个体工商户安全生产管理。六是负责宏观质量管理。七是负责产品质量安全监督管理。八是负责特种设备安全监督管理。九是负责食品安全监督管理综合协调。十是负责食品安全监督管理。十一是负责统一管理计量工作。十二是负责统一管理标准化工作。十三是负责统一管理检验检测工作。十四是负责统一管理认证认可工作。十五是负责促进知识产权运用。十六是负责保护知识产权。十七是负责药品、医疗器械和化妆品安全监督管理。十八是负责药品、化妆品不良反应和医疗器械不良事件监测工作。十九是负责本部门科技与信息化建设、新闻宣传。二十是承担县食品安全委员会的具体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市场监督管理局下设9个处室，分别是：办公室、法规科、行政审批（登记注册）科、信用监督管理与消费者权益保护科、食品安全监督管理科、药械化妆品安全监督管理科、特种设备安全监察科、质量计量标准化监督管理科、安全监察应急监督管理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本项目预算安排总额为30.00万元，资金来源为财政拨款，其中：财政资金30.00万元，其他资金0.00万元，2023年实际收到预算资金30.00万元，预算资金到位率为100%。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截至2023年12月31日，本项目实际支付资金30.00万元，预算执行率100%。本项目资金主要用于支付中国联通系统行政执法智慧监管服务平台集成项目费用29.90万元、行政执法公文包费用0.10万元。</w:t>
      </w:r>
    </w:p>
    <w:p w14:paraId="1748963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9DD0E0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吉木萨尔县市场监督管理局以党的二十大精神为指导，全面贯彻新发展理念，深入贯彻落实县委、县政府重点工作部署，系统推进“服务型执法”部门建设，不断优化公平有序的竞争环境、便捷高效的营商环境、安全放心的消费环境、规范公正的法治四大环境，更好地服务和融入新发展格局，全面服务我县经济高质量发展。2023年食品生产企业监督检查、药店监督检查、乡镇卫生院、村卫生室监督检查、特种设备使用单位检查覆盖率达100%；行政执法人员执法装备配备74台，行政执法人员满意度达97.5%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“执法装备配备数量（台）”指标，预期指标值为“≥74台”；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“药品监督检查覆盖率”指标，预期指标值为“100%”；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“食品生产企业监督检查覆盖率”指标，预期指标值为“100%”；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“乡镇卫生院、村卫生室监督检查覆盖率”指标，预期指标值为“100%”；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“特种设备使用单位检查覆盖率”指标，预期指标值为“100%”；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“政府采购及时率”指标，预期指标值为“100%”；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“拨付执法装备经费”指标，预期指标值为“≤30万元”；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“保障社会安全”指标，预期指标值为“有效保障”；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“行政执法人员满意度”指标，预期指标值为“≥95%”。</w:t>
      </w:r>
    </w:p>
    <w:p w14:paraId="0C31C59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C98CA6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D9C1B3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此次我单位根据《财政支出绩效评价管理暂行办法》（财预〔2020〕10号）文件要求实施评价工作，本次评价对象为市监局追加执法装备经费项目，评价核心为项目资金、项目产出、项目效益、项目满意度。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（12）《关于市场监管基层执法装备配备的指导意见》的通知（市监稽发〔2021〕35号）；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（13）自治区市场监督管理局对昌吉州市场监督管理局下达的函件“关于开展市场监管基层执法装备的函”（2022年2月18日）；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w:t>
      </w:r>
      <w:r>
        <w:rPr>
          <w:rStyle w:val="18"/>
          <w:rFonts w:hint="eastAsia" w:ascii="楷体" w:hAnsi="楷体" w:eastAsia="楷体"/>
          <w:b w:val="0"/>
          <w:bCs w:val="0"/>
          <w:spacing w:val="-4"/>
          <w:sz w:val="32"/>
          <w:szCs w:val="32"/>
          <w:lang w:eastAsia="zh-CN"/>
        </w:rPr>
        <w:t>行政执法“三项制度”</w:t>
      </w:r>
      <w:r>
        <w:rPr>
          <w:rStyle w:val="18"/>
          <w:rFonts w:hint="eastAsia" w:ascii="楷体" w:hAnsi="楷体" w:eastAsia="楷体"/>
          <w:b w:val="0"/>
          <w:bCs w:val="0"/>
          <w:spacing w:val="-4"/>
          <w:sz w:val="32"/>
          <w:szCs w:val="32"/>
        </w:rPr>
        <w:t>（行政执法公示制度、行政执法全过程记录制度、重大执法决定法制审核制度）。</w:t>
      </w:r>
    </w:p>
    <w:p w14:paraId="23A101C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786DC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1B9839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41194F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黄振文（评价小组组长）：主要负责项目策划和监督，全面负责项目绩效评价办稿的最终质量，对评估人员出具的最终报告质量进行复核，确保评估结果的客观性；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李建春（评价小组组员）：主要负责资料的收集，取证、数据统计分析；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谢银星（评价小组组员）：主要负责主要负责项目报告的制定，指标的研判，数据分析及报告撰写。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食品生产企业、药店、乡镇卫生院、村卫生室、特种设备使用单位等。我们根据绩效评价目标和绩效指标体系，设计满意度调查问卷进行问卷调查，通过向企业、个体、卫生院等受益对象发放问卷18份，最终收回18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F62F82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56F88A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2023年食品生产企业监督检查、药店监督检查、乡镇卫生院、村卫生室监督检查、特种设备使用单位检查覆盖率达100%；行政执法人员执法装备配备74台，行政执法人员满意度达97.5%等指标，进一步规范了执法行为，提高了市场监管效率。但在实施过程中也存在一些不足：执法装备未得到充分利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w:t>
      </w:r>
    </w:p>
    <w:p w14:paraId="663F4F5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11064D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13A37F5">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国家市场监督管理总局颁发的《&lt;关于市场监管基层执法装备配备的指导意见&gt;的通知》（市监稽发〔2021〕35号）中：“聚焦基层执法需求，取证装备满足执法过程中取证工作需要的装备”；本项目立项符合《吉木萨尔县市场监督管理局单位配置内设机构和人员编制规定》中职责范围中的“负责县市场监督和知识产权综合执法工作。配合上级部门开展反垄断统一执法。”，属于我单位履职所需；根据《财政资金直接支付申请书》，本项目资金性质为“公共财政预算”功能分类为“2013899”经济分类为“其他商品和服务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国家市场监督管理总局办公厅印发《关于市场监管基层执法装备配备的指导意见》的通知（市监稽发〔2021〕35号）以及自治区市场监督管理局对昌吉州市场监督管理局下达的函件“关于开展市场监管基层执法装备的函”（2022年2月18日）通知要求，针对市场监督管理基层执法一线装备配备不足等问题，明确了执法装备配备的基本原则、主要内容和使用要求。根据《指导意见》结合市场监督管理局的实际情况，按照</w:t>
      </w:r>
      <w:r>
        <w:rPr>
          <w:rStyle w:val="18"/>
          <w:rFonts w:hint="eastAsia" w:ascii="楷体" w:hAnsi="楷体" w:eastAsia="楷体"/>
          <w:b w:val="0"/>
          <w:bCs w:val="0"/>
          <w:spacing w:val="-4"/>
          <w:sz w:val="32"/>
          <w:szCs w:val="32"/>
          <w:lang w:eastAsia="zh-CN"/>
        </w:rPr>
        <w:t>行政执法“三项制度”</w:t>
      </w:r>
      <w:r>
        <w:rPr>
          <w:rStyle w:val="18"/>
          <w:rFonts w:hint="eastAsia" w:ascii="楷体" w:hAnsi="楷体" w:eastAsia="楷体"/>
          <w:b w:val="0"/>
          <w:bCs w:val="0"/>
          <w:spacing w:val="-4"/>
          <w:sz w:val="32"/>
          <w:szCs w:val="32"/>
        </w:rPr>
        <w:t>规定，要求2人一组配备一套执法装备。2023年3月30日，报送政府采购申报审批单，采购行政执法智慧监管服务项目，采购金额30万元；根据财政局意见，通过政采云服务市场竞价采购。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2023年市场监督管理局以党的二十大精神为指导，全面贯彻新发展理念，深入贯彻落实县委、县政府重点工作部署，系统推进“服务型执法”部门建设，不断优化公平有序的竞争环境、便捷高效的营商环境、安全放心的消费环境、规范公正的法治四大环境，更好地服务和融入新发展格局，全面服务我县经济高质量发展。当年完成食品生产企业监督检查全覆盖、药店监督检查全覆盖、乡镇卫生院、村卫生室监督检查全覆盖、特种设备使用单位检查全覆盖；行政执法人员执法装备配备数量大于等于74台，行政执法人员满意度大于等于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2023年食品生产企业监督检查全覆盖、药店监督检查全覆盖、乡镇卫生院、村卫生室监督检查全覆盖、特种设备使用单位检查全覆盖；配备行政执法人员执法装备74台，行政执法人员满意度97.5%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数量指标、质量指标、时效指标、经济成本指标、社会效益指标、满意度指标，完成了执法装备配备数量，药品监督检查、食品生产企业监督检查、乡镇卫生院、村卫生室监督检查、特种设备使用单位监督检查覆盖率均达到100%，各项政府采购及时率达100%，有效保障了社会安全，行政执法人员满意度达97.5%，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④该项目批复的预算金额为30.00万元，《项目支出绩效目标表》中预算金额为30.00万元，预算确定的项目资金与预算确定的项目投资额相匹配。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88.89%，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该《项目绩效目标申报表》中，数量指标指标值为执法装备配备数量74台，三级指标的年度指标值与年度绩效目标中任务数一致。已设置的绩效目标具备明确性、可衡量性、可实现性、相关性、时限性。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本项目预算申请内容为执法装备经费30万元，项目实际内容为执法装备经费30万元，预算申请与《市监局追加执法装备经费项目实施方案》中涉及的项目内容匹配；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30万元，我单位在预算申请中严格按照项目实施内容及测算标准进行核算，其中：中国联通系统行政执法智慧监管服务平台集成项目费用29.90万元、行政执法公文包费用0.10万元。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①本项目实际分配资金以《关于行政执法智慧监管服务项目经费的申请》（吉县市监〔2023〕6号）文件为依据进行资金分配，预算资金分配依据充分。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行政执法智慧监管服务项目经费的申请》（吉县市监〔2023〕6号）文件显示，本项目实际到位资金30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22CD381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91AA3B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依据《关于行政执法智慧监管服务项目经费的申请》（吉县市监〔2023〕6号文件），本项目预算资金为30万元，实际到位资金30万元，资金到位率100%。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2023年12月底，本项目实际支出资金30万元，预算执行率100%。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市场监督管理局单位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市场监督管理局财务管理制度》、《市场监督管理局财务管理暂行办法》、《市场监督管理局资产管理及责任追究办法》、《合同档案管理制度》、《财务收支制度》、《采购管理办法》、《固定资产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市场监督管理局财务管理制度》、《市场监督管理局财务管理暂行办法》、《市场监督管理局资产管理及责任追究办法》、《合同档案管理制度》、《财务收支制度》、《采购管理办法》、《固定资产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追加执法装备经费项目工作领导小组，由黄振文任组长，负责项目的组织工作；李建春任副组长，负责项目的实施工作；组员包括：贾锋和姜有为，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498EC69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8758D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项目产出类指标由3个二级指标和7个三级指标构成，权重分30.0分，实际得分30.0分。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“执法装备配备数量”指标：预期指标值为“≥74台”，实际完成指标值为“74台”，指标完成率为100.0%。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综上所述，本指标满分为7.0分，根据评分标准得7.0分。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“药品监督检查覆盖率”指标：预期指标值为“100%”，实际完成指标值为“100%”，指标完成率为100%。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“食品生产企业监督检查覆盖率”指标：预期指标值为“100%”，实际完成指标值为“100%”，指标完成率为100%。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“乡镇卫生院、村卫生室监督覆盖率”指标：预期指标值为“100%”，实际完成指标值为“100%”，指标完成率为100%。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“特种设备使用单位检查覆盖率”指标：预期指标值为“100%”，实际完成指标值为“100%”，指标完成率为100%。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“政府采购及时率”指标：预期指标值为“100%”，实际完成指标值为“100%”，指标完成率为100%。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“拨付执法装备经费”指标：预期指标值为“≤30万元”，实际完成指标值为“30万元”，指标完成率为100%。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45243D4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7F32A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“保障社会安全”指标：预期指标值为“有效保障”，实际完成指标值为“基本达成目标”，指标完成率为100.0%。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“行政执法人员满意度”指标：预期指标值为“≥95%”，实际完成指标值为“97.5%”，指标完成率为100%。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03E50437">
      <w:pPr>
        <w:spacing w:line="540" w:lineRule="exact"/>
        <w:ind w:firstLine="567"/>
        <w:rPr>
          <w:rStyle w:val="18"/>
          <w:rFonts w:ascii="楷体" w:hAnsi="楷体" w:eastAsia="楷体"/>
          <w:spacing w:val="-4"/>
          <w:sz w:val="32"/>
          <w:szCs w:val="32"/>
        </w:rPr>
      </w:pPr>
    </w:p>
    <w:p w14:paraId="354D444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68ACD5E">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本项目年初预算资金总额为30万元，全年预算数为30万元，全年执行数为30万元，预算执行率为100%。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28A04E0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6F2E76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争取项目资金30万元，购进了一批行政检查和执法设备，打造检查、执法一体化智慧监管平台，将检查记录和执法文书录入系统，进一步加强了智慧监管手段，实现了市场监管和行政执法电子化。执法装备的配备进一步提高了市场监督管理执法效能，保障了执法人员安全，提升了执法人员执法水平和效率，推动了执法工作的创新发展。进一步加大专项整治力度，营造了良好的市场环境；通过强化特种设备监管，守住了安全生产底线；在药品化妆品和质量监管上下足功夫，确保了“两品一械”市场稳定和质量安全。借助执法装备在全县范围内药店、食品生产企业、乡镇卫生院、村卫生室、特种设备使用单位的监督检查覆盖率达到100%，在一定程度上增强了公共安全感，促进了社会和谐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该项目年度目标和各项指标均按期完成，无存在问题。</w:t>
      </w:r>
    </w:p>
    <w:p w14:paraId="18B7D3E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919183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追加的预算资金30万元为执法设备购买费用和一年的运行维护费，后期使用过程中每年需继续支付中国联通公司运营维护费，目前该笔费用无资金来源。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建议后期财政能够在年初预算中下达相关资金予以保障执法设备运行维护费。</w:t>
      </w:r>
    </w:p>
    <w:p w14:paraId="1143CF0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10B378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414F770C">
      <w:pPr>
        <w:spacing w:line="540" w:lineRule="exact"/>
        <w:ind w:firstLine="567"/>
        <w:rPr>
          <w:rStyle w:val="18"/>
          <w:rFonts w:ascii="仿宋" w:hAnsi="仿宋" w:eastAsia="仿宋"/>
          <w:b w:val="0"/>
          <w:spacing w:val="-4"/>
          <w:sz w:val="32"/>
          <w:szCs w:val="32"/>
        </w:rPr>
      </w:pPr>
    </w:p>
    <w:p w14:paraId="5102B619">
      <w:pPr>
        <w:spacing w:line="540" w:lineRule="exact"/>
        <w:ind w:firstLine="567"/>
        <w:rPr>
          <w:rStyle w:val="18"/>
          <w:rFonts w:ascii="仿宋" w:hAnsi="仿宋" w:eastAsia="仿宋"/>
          <w:b w:val="0"/>
          <w:spacing w:val="-4"/>
          <w:sz w:val="32"/>
          <w:szCs w:val="32"/>
        </w:rPr>
      </w:pPr>
    </w:p>
    <w:p w14:paraId="62890898">
      <w:pPr>
        <w:spacing w:line="540" w:lineRule="exact"/>
        <w:ind w:firstLine="567"/>
        <w:rPr>
          <w:rStyle w:val="18"/>
          <w:rFonts w:ascii="仿宋" w:hAnsi="仿宋" w:eastAsia="仿宋"/>
          <w:b w:val="0"/>
          <w:spacing w:val="-4"/>
          <w:sz w:val="32"/>
          <w:szCs w:val="32"/>
        </w:rPr>
      </w:pPr>
    </w:p>
    <w:p w14:paraId="5CBA11AE">
      <w:pPr>
        <w:spacing w:line="540" w:lineRule="exact"/>
        <w:ind w:firstLine="567"/>
        <w:rPr>
          <w:rStyle w:val="18"/>
          <w:rFonts w:ascii="仿宋" w:hAnsi="仿宋" w:eastAsia="仿宋"/>
          <w:b w:val="0"/>
          <w:spacing w:val="-4"/>
          <w:sz w:val="32"/>
          <w:szCs w:val="32"/>
        </w:rPr>
      </w:pPr>
    </w:p>
    <w:p w14:paraId="2D8F2F0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E22F3A-2D80-4CAB-87C0-3942EFEE48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6C89C2F-EDE4-4BF9-B5A1-F6B9E7EFBB9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1ABDC7F-28F2-4DCA-9D3C-D5B56F49D127}"/>
  </w:font>
  <w:font w:name="华文中宋">
    <w:panose1 w:val="02010600040101010101"/>
    <w:charset w:val="86"/>
    <w:family w:val="auto"/>
    <w:pitch w:val="default"/>
    <w:sig w:usb0="00000287" w:usb1="080F0000" w:usb2="00000000" w:usb3="00000000" w:csb0="0004009F" w:csb1="DFD70000"/>
    <w:embedRegular r:id="rId4" w:fontKey="{7B7DA056-E614-4D06-B86E-1EB2BA278A04}"/>
  </w:font>
  <w:font w:name="方正小标宋_GBK">
    <w:panose1 w:val="02000000000000000000"/>
    <w:charset w:val="86"/>
    <w:family w:val="script"/>
    <w:pitch w:val="default"/>
    <w:sig w:usb0="A00002BF" w:usb1="38CF7CFA" w:usb2="00082016" w:usb3="00000000" w:csb0="00040001" w:csb1="00000000"/>
    <w:embedRegular r:id="rId5" w:fontKey="{10299D17-8F17-4440-B9CE-E99ECCD3F6CC}"/>
  </w:font>
  <w:font w:name="仿宋_GB2312">
    <w:panose1 w:val="02010609030101010101"/>
    <w:charset w:val="86"/>
    <w:family w:val="modern"/>
    <w:pitch w:val="default"/>
    <w:sig w:usb0="00000001" w:usb1="080E0000" w:usb2="00000000" w:usb3="00000000" w:csb0="00040000" w:csb1="00000000"/>
    <w:embedRegular r:id="rId6" w:fontKey="{DFE94123-6582-4443-A1F4-08CE7E8AB778}"/>
  </w:font>
  <w:font w:name="楷体">
    <w:panose1 w:val="02010609060101010101"/>
    <w:charset w:val="86"/>
    <w:family w:val="modern"/>
    <w:pitch w:val="default"/>
    <w:sig w:usb0="800002BF" w:usb1="38CF7CFA" w:usb2="00000016" w:usb3="00000000" w:csb0="00040001" w:csb1="00000000"/>
    <w:embedRegular r:id="rId7" w:fontKey="{C683E4CC-5338-4B40-BABA-980C4FE9283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E4A086C">
        <w:pPr>
          <w:pStyle w:val="12"/>
          <w:jc w:val="center"/>
        </w:pPr>
        <w:r>
          <w:fldChar w:fldCharType="begin"/>
        </w:r>
        <w:r>
          <w:instrText xml:space="preserve">PAGE   \* MERGEFORMAT</w:instrText>
        </w:r>
        <w:r>
          <w:fldChar w:fldCharType="separate"/>
        </w:r>
        <w:r>
          <w:rPr>
            <w:lang w:val="zh-CN"/>
          </w:rPr>
          <w:t>2</w:t>
        </w:r>
        <w:r>
          <w:fldChar w:fldCharType="end"/>
        </w:r>
      </w:p>
    </w:sdtContent>
  </w:sdt>
  <w:p w14:paraId="4DA4FB3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79413D5"/>
    <w:rsid w:val="3B5B5607"/>
    <w:rsid w:val="3CE21B3C"/>
    <w:rsid w:val="4D2606A1"/>
    <w:rsid w:val="51830480"/>
    <w:rsid w:val="53A616BE"/>
    <w:rsid w:val="54662BFB"/>
    <w:rsid w:val="62051CA5"/>
    <w:rsid w:val="6C3A69EF"/>
    <w:rsid w:val="78663D23"/>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10621</Words>
  <Characters>11117</Characters>
  <Lines>4</Lines>
  <Paragraphs>1</Paragraphs>
  <TotalTime>4</TotalTime>
  <ScaleCrop>false</ScaleCrop>
  <LinksUpToDate>false</LinksUpToDate>
  <CharactersWithSpaces>11135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2025-10-16T04:29:51Z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