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21965A">
      <w:bookmarkStart w:id="0" w:name="_GoBack"/>
      <w:bookmarkEnd w:id="0"/>
    </w:p>
    <w:p w14:paraId="5FBF3947">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6C4CC2CF">
      <w:pPr>
        <w:spacing w:line="540" w:lineRule="exact"/>
        <w:jc w:val="center"/>
        <w:rPr>
          <w:rFonts w:ascii="华文中宋" w:hAnsi="华文中宋" w:eastAsia="华文中宋" w:cs="宋体"/>
          <w:b/>
          <w:kern w:val="0"/>
          <w:sz w:val="52"/>
          <w:szCs w:val="52"/>
        </w:rPr>
      </w:pPr>
    </w:p>
    <w:p w14:paraId="75BCA15A">
      <w:pPr>
        <w:spacing w:line="540" w:lineRule="exact"/>
        <w:jc w:val="center"/>
        <w:rPr>
          <w:rFonts w:ascii="华文中宋" w:hAnsi="华文中宋" w:eastAsia="华文中宋" w:cs="宋体"/>
          <w:b/>
          <w:kern w:val="0"/>
          <w:sz w:val="52"/>
          <w:szCs w:val="52"/>
        </w:rPr>
      </w:pPr>
    </w:p>
    <w:p w14:paraId="704EA623">
      <w:pPr>
        <w:spacing w:line="540" w:lineRule="exact"/>
        <w:jc w:val="center"/>
        <w:rPr>
          <w:rFonts w:ascii="华文中宋" w:hAnsi="华文中宋" w:eastAsia="华文中宋" w:cs="宋体"/>
          <w:b/>
          <w:kern w:val="0"/>
          <w:sz w:val="52"/>
          <w:szCs w:val="52"/>
        </w:rPr>
      </w:pPr>
    </w:p>
    <w:p w14:paraId="32982C51">
      <w:pPr>
        <w:spacing w:line="540" w:lineRule="exact"/>
        <w:jc w:val="center"/>
        <w:rPr>
          <w:rFonts w:ascii="华文中宋" w:hAnsi="华文中宋" w:eastAsia="华文中宋" w:cs="宋体"/>
          <w:b/>
          <w:kern w:val="0"/>
          <w:sz w:val="52"/>
          <w:szCs w:val="52"/>
        </w:rPr>
      </w:pPr>
    </w:p>
    <w:p w14:paraId="716F40C8">
      <w:pPr>
        <w:spacing w:line="540" w:lineRule="exact"/>
        <w:jc w:val="center"/>
        <w:rPr>
          <w:rFonts w:ascii="华文中宋" w:hAnsi="华文中宋" w:eastAsia="华文中宋" w:cs="宋体"/>
          <w:b/>
          <w:kern w:val="0"/>
          <w:sz w:val="52"/>
          <w:szCs w:val="52"/>
        </w:rPr>
      </w:pPr>
    </w:p>
    <w:p w14:paraId="1C5DEB21">
      <w:pPr>
        <w:spacing w:line="540" w:lineRule="exact"/>
        <w:jc w:val="center"/>
        <w:rPr>
          <w:rFonts w:ascii="华文中宋" w:hAnsi="华文中宋" w:eastAsia="华文中宋" w:cs="宋体"/>
          <w:b/>
          <w:kern w:val="0"/>
          <w:sz w:val="52"/>
          <w:szCs w:val="52"/>
        </w:rPr>
      </w:pPr>
    </w:p>
    <w:p w14:paraId="71BDAFD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7FFA92E">
      <w:pPr>
        <w:spacing w:line="540" w:lineRule="exact"/>
        <w:jc w:val="center"/>
        <w:rPr>
          <w:rFonts w:ascii="华文中宋" w:hAnsi="华文中宋" w:eastAsia="华文中宋" w:cs="宋体"/>
          <w:b/>
          <w:kern w:val="0"/>
          <w:sz w:val="52"/>
          <w:szCs w:val="52"/>
        </w:rPr>
      </w:pPr>
    </w:p>
    <w:p w14:paraId="5499622F">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F9DE6C4">
      <w:pPr>
        <w:spacing w:line="540" w:lineRule="exact"/>
        <w:jc w:val="center"/>
        <w:rPr>
          <w:rFonts w:hAnsi="宋体" w:eastAsia="仿宋_GB2312" w:cs="宋体"/>
          <w:kern w:val="0"/>
          <w:sz w:val="30"/>
          <w:szCs w:val="30"/>
        </w:rPr>
      </w:pPr>
    </w:p>
    <w:p w14:paraId="129F675F">
      <w:pPr>
        <w:spacing w:line="540" w:lineRule="exact"/>
        <w:jc w:val="center"/>
        <w:rPr>
          <w:rFonts w:hAnsi="宋体" w:eastAsia="仿宋_GB2312" w:cs="宋体"/>
          <w:kern w:val="0"/>
          <w:sz w:val="30"/>
          <w:szCs w:val="30"/>
        </w:rPr>
      </w:pPr>
    </w:p>
    <w:p w14:paraId="1F45A07B">
      <w:pPr>
        <w:spacing w:line="540" w:lineRule="exact"/>
        <w:rPr>
          <w:rFonts w:hAnsi="宋体" w:eastAsia="仿宋_GB2312" w:cs="宋体"/>
          <w:kern w:val="0"/>
          <w:sz w:val="30"/>
          <w:szCs w:val="30"/>
        </w:rPr>
      </w:pPr>
    </w:p>
    <w:p w14:paraId="7C45809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9BB690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二工镇人民政府-昌州财建【2024】22号-关于下达以工代赈示范工程专项2024年中央基建投资预算的通知（吉木萨尔县二工镇大泉湖村2024年以工代赈基础设施建设项目）</w:t>
      </w:r>
    </w:p>
    <w:p w14:paraId="3F54788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吉木萨尔县二工镇人民政府本级</w:t>
      </w:r>
    </w:p>
    <w:p w14:paraId="367FA00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吉木萨尔县二工镇人民政府本级</w:t>
      </w:r>
    </w:p>
    <w:p w14:paraId="799818E9">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陈阳</w:t>
      </w:r>
    </w:p>
    <w:p w14:paraId="44F14BF2">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2025年05月14日</w:t>
      </w:r>
    </w:p>
    <w:p w14:paraId="514E3A19">
      <w:pPr>
        <w:spacing w:line="700" w:lineRule="exact"/>
        <w:ind w:firstLine="708" w:firstLineChars="236"/>
        <w:jc w:val="left"/>
        <w:rPr>
          <w:rFonts w:hAnsi="宋体" w:eastAsia="仿宋_GB2312" w:cs="宋体"/>
          <w:kern w:val="0"/>
          <w:sz w:val="30"/>
          <w:szCs w:val="30"/>
        </w:rPr>
      </w:pPr>
    </w:p>
    <w:p w14:paraId="63243408">
      <w:pPr>
        <w:spacing w:line="540" w:lineRule="exact"/>
        <w:rPr>
          <w:rStyle w:val="19"/>
          <w:rFonts w:ascii="黑体" w:hAnsi="黑体" w:eastAsia="黑体"/>
          <w:b w:val="0"/>
          <w:spacing w:val="-4"/>
          <w:sz w:val="32"/>
          <w:szCs w:val="32"/>
        </w:rPr>
      </w:pPr>
    </w:p>
    <w:p w14:paraId="35C7E0D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9197B92">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5CB260A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工镇大泉湖村农业资源丰富，但由于地方财力有限，项目区内道路配套还不完善，致使丰富的农业资源和产业价值不能得到充分开发利用，农产品商品转化率低，现有农业产业规模化、专业化程度不高，带动致富能力不足。通过本项目的事实，可以有限解决村上富余劳动力过多，就业压力大的问题，道路配套建设完成后，增强通行能力，为乡村振兴提供新助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（1）项目名称：吉木萨尔县二工镇大泉湖村2024年以工代赈基础设施建设项目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（2）项目主要内容：为改善出行条件，提升村民出行安全性，提高出行效率，项目谋划新建道路8公里道路及配套附属设施，助力乡村建设、促进经济发展。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实施主体：吉木萨尔县二工镇人民政府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实施时间：本项目实施周期为2024年6月-2024年10月。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吉木萨尔县二工镇大泉湖村2024年以工代赈基础设施建设项目，项目于2023年8月27日下达立项批复，总投资780万，后进行项目总投资及建设内容变更，变更后总投资为740.68万，建设内容为新建道路8公里及附属配套设施；项目施工中标单位为新疆三友工程建设有限公司，中标价703.674413万元，计划开工时间为2024年7月1日，竣工时间为2024年10月1日，截止2024年12月31日，项目已按照中标价支付完毕，正在进行工程结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1、执行本级党委和人民代表大会的决议及上级国家行政机关的决定和命令；</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2、执行本行政区域内的经济和社会发展计划、预算， 管理本行政区域内的经济、教育、科学、文化、卫生、体育事业和财政、民政行政工作等；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3、制定和组织实施村镇建设规划，经济、科技和社会发展计划，制定产业结构调整方案，组织指导好各业生产，组织经济运行，促进经济发展；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4、办理上级人民政府交办的其他事项。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吉木萨尔县二工镇人民政府无下属预算单位，下设5个处室，分别是:吉木萨尔县二工镇人民政府无下属预算单位，二工镇统筹设置“五办五中心”中心,“五办”即:党政综合办公室、党建工作办公室、经济发展和财政办公室、社会事务办公室(退役军人服务站)、综合执法办公室;“五中心”即:农业发展服务中心、公共文化服务中心、村镇建设发展服务中心、综治和网格化服务中心、便民服务中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吉木萨尔县二工镇人民政府编制数 74，实有人数81人，其中:在职57人，减少8人;退休24人，减少0人;离休0人，增加0人。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本项目预算安排总额为740.68万元，资金来源为中央预算内资金，其中：财政资金740.68万元，其他资金0.00万元，2024年实际收到预算资金740.68万元，预算资金到位率为100%。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740.68万元，预算执行率100%。本项目资金主要用于支付工程款703.68万元、造价咨询费1.90万元、勘察费4.05万元、监理费11.00万元、设计费13.55万元、测绘费5.2万元、可研费1.3万元，共计740.68万元。</w:t>
      </w:r>
    </w:p>
    <w:p w14:paraId="7B2C657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7F14F70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新建道路8公里及附属配套设施，道路验收合格率达标，工程开工及时并且按时完工，2024年计划支出工程各项费用合规合格，项目建成后有限改善项目区内基础设施条件，有效解决当地就业压力大的问题。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“新建道路公里数（公里）”指标，预期指标值为“等于13”；</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“道路验收合格率（%）”指标，预期指标值为“大于等于95%”；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“工程开工及时率（%）”指标，预期指标值为“等于100%”；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“工程按时完工率（%）”指标，预期指标值为“等于100%”；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“2024年计划支出工程费用（万元）”指标，预期指标值为“小于等于760万元”；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“项目预算控制率（%）”指标，预期指标值为“小于等于100%”；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“项目区基础设施条件”指标，预期指标值为“有效改善”；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“吸纳当地劳动力参与建设，带动就业增收”指标，预期指标值为“增收”；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“受益群众满意度（%）”指标，预期指标值为“大于等于95%”。</w:t>
      </w:r>
    </w:p>
    <w:p w14:paraId="1E86894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37B0DAA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6ED15A4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木萨尔县二工镇大泉湖村2024年以工代赈基础设施建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吉木萨尔县二工镇大泉湖村2024年以工代赈基础设施建设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3ACC5D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11041F2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71EB2A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23C419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陈阳（评价小组组长）：主要负责项目策划和监督，全面负责项目绩效评价报告的最终质量，对评价人员出具的最终报告质量进行复核，确保评估结果的客观性；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美合古丽、冯陶（评价小组组员）：主要负责资料的收集，取证、数据统计分析；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汪君（评价小组组员）：主要负责项目报告的制定，指标的研判，数据分析及报告撰写。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2025年4月15日-4月20日，评价小组按照绩效评价的原则和规范，对取得的资料进行审查核实，对采集的数据进行分析，按照绩效评价指标评分表逐项进行打分、分析、汇总各方评价结果。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2025年4月21日-4月28日，评价小组撰写绩效评价报告，按照新疆维吾尔自治区财政绩效管理信息系统绩效评价模块中统一格式和文本框架撰写绩效评价报告并提交审核。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755F4D0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0A3450D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通过吉木萨尔县二工镇大泉湖村2024年以工代赈基础设施建设项目的实施，完成了新建道路8公里及附属配套设施的产出目标，项目的实施有限改善了项目区内基础设施条件，有效解决了当地就业压力大的问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100.00%。项目决策类指标共设置6个，满分指标6个，得分率100.00%；过程管理类指标共设置5个，满分指标5个，得分率100.00%；项目产出类指标共设置6个，满分指标6个，得分率100.00%；项目效益类指标共设置2个，满分指标2个，得分率100.00%；项目满意度类指标共设置1个，满分指标1个，得分率100.00%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100.00% 100.00% 100.00% 100.00% 100.00% 100.00%</w:t>
      </w:r>
    </w:p>
    <w:p w14:paraId="7B1A29B1">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414F2DB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6E619422">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项目决策类指标由3个二级指标和6个三级指标构成，权重分21.00分，实际得分21.00分。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本项目立项符合符合行业发展规划和政策要求；本项目资金性质为“公共财政预算”属于公共财政支持范围，符合中央、地方事权支出责任划分原则；经检查我单位财政管理一体化信息系统，本项目不存在重复。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根据要求，我单位上报《关于吉木萨尔县二工镇大泉湖村2024年以工代赈基础设施建设项目可行性研究报告批复的请示》，经吉木萨尔县发展和改革委员会审核，下发《关于吉木萨尔县二工镇大泉湖村2024年以工代赈基础设施建设项目可行性研究报告的批复》（吉县发改【2023】211号）批复文件，本项目正式设立。经查看，该项目立项过程产生的相关文件，符合相关要求。本项目为基础建设类项目，属于经常性项目，不涉及事前绩效评估和风险评估，已委托中地泓通工程技术有限公司新疆分公司编制《吉木萨尔县二工镇大泉湖村2024年以工代赈基础设施建设项目可行性研究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大泉湖村新建13公里道路及配套附属设施，项目总投资760万元，资金来源为中央预算内资金。计划于2024年12月31日前完成支付，待项目完成后，改善当地交通条件，通过吸纳当地劳动力参与建设，发放劳务报酬，带动就业增收，争取使受益群众满意度不低于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截至2024年12月31日，本项目实际支出资金740.68万元，执行预算率100%，实际已完成新建13公里道路及配套附属设施。通过实施本项目，极大的改善了交通条件，并且施工工程中吸纳当地劳动力参与建设，发放劳务报酬，带动就业增收。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③该项目按照绩效目标完成数量指标、质量指标、时效指标、成本指标，完成了新建道路8公里及附属配套设施，达到有限改善项目区内基础设施条件，预期产出效益和效果符合正常的业绩水平。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④该项目批复的预算金额为740.68万元，《项目支出绩效目标表》中预算金额为740.68万元，预算确定的项目资金与预算确定的项目投资额相匹配。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7个，定性指标2个，指标量化率为45%，量化率达70%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新建道路公里数（公里）”，三级指标的年度指标值与年度绩效目标中任务数一致，已设置时效指标“工程开工及时率（%）”“工程按时完工率（%）”。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本项目预算编制通过进行初步设计，按设计概算编制本项目预算，即预算编制较科学且经过论证；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新建道路8公里及附属配套设施，项目实际内容为新建道路8公里及附属配套设施，预算申请与《吉木萨尔县二工镇大泉湖村2024年以工代赈基础设施建设项目可行性研究报告》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740.68万元，我单位在预算申请中严格按照项目实施内容及测算标准进行核算，其中：工程款703.68万元、造价咨询费1.90万元、勘察费4.05万元、监理费11.00万元、设计费13.55万元、测绘费5.2万元、可研费1.3万元，共计740.68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本项目实际分配资金以《关于申请吉木萨尔县二工镇大泉湖村2024年以工代赈基础设施</w:t>
      </w:r>
      <w:r>
        <w:rPr>
          <w:rStyle w:val="19"/>
          <w:rFonts w:hint="eastAsia" w:ascii="楷体" w:hAnsi="楷体" w:eastAsia="楷体"/>
          <w:b w:val="0"/>
          <w:bCs w:val="0"/>
          <w:spacing w:val="-4"/>
          <w:sz w:val="32"/>
          <w:szCs w:val="32"/>
          <w:lang w:eastAsia="zh-CN"/>
        </w:rPr>
        <w:t>建设项目</w:t>
      </w:r>
      <w:r>
        <w:rPr>
          <w:rStyle w:val="19"/>
          <w:rFonts w:hint="eastAsia" w:ascii="楷体" w:hAnsi="楷体" w:eastAsia="楷体"/>
          <w:b w:val="0"/>
          <w:bCs w:val="0"/>
          <w:spacing w:val="-4"/>
          <w:sz w:val="32"/>
          <w:szCs w:val="32"/>
        </w:rPr>
        <w:t>资金的请示》和《吉木萨尔县二工镇大泉湖村2024年以工代赈基础设施</w:t>
      </w:r>
      <w:r>
        <w:rPr>
          <w:rStyle w:val="19"/>
          <w:rFonts w:hint="eastAsia" w:ascii="楷体" w:hAnsi="楷体" w:eastAsia="楷体"/>
          <w:b w:val="0"/>
          <w:bCs w:val="0"/>
          <w:spacing w:val="-4"/>
          <w:sz w:val="32"/>
          <w:szCs w:val="32"/>
          <w:lang w:eastAsia="zh-CN"/>
        </w:rPr>
        <w:t>建设项目</w:t>
      </w:r>
      <w:r>
        <w:rPr>
          <w:rStyle w:val="19"/>
          <w:rFonts w:hint="eastAsia" w:ascii="楷体" w:hAnsi="楷体" w:eastAsia="楷体"/>
          <w:b w:val="0"/>
          <w:bCs w:val="0"/>
          <w:spacing w:val="-4"/>
          <w:sz w:val="32"/>
          <w:szCs w:val="32"/>
        </w:rPr>
        <w:t>实施方案》为依据进行资金分配，预算资金分配依据充分。本项目实际到位资金740.68万元，资金分配额度合理，与我单位实际需求相适应。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763F2E88">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7EBA263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740.68万元，其中：财政安排资金740.68万元，其他资金0万元，实际到位资金740.68万元，资金到位率=（实际到位资金/预算资金）×100.00%=（740.68/740.68）×100.00%=100%。得分=（1-60.00%）/（1-60.00%）×4.00=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本项目实际支出资金740.68万元，预算执行率=（实际支出资金/实际到位资金）×100.00%=（740.68/740.68.00）×100.00%=97.46%；</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得分=（实际完成率-60.00%）/（1-60.00%）×权重=100%×5.00=5分。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工代赈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二工镇以工代赈资金管理办法》《二工镇收支业务管理制度》《二工镇政府采购业务管理制度》《二工镇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二工镇以工代赈资金管理办法》《二工镇收支业务管理制度》《二工镇政府采购业务管理制度》《二工镇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③该项目存在调整，调整手续齐全。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吉木萨尔县二工镇大泉湖村2024年以工代赈基础设施</w:t>
      </w:r>
      <w:r>
        <w:rPr>
          <w:rStyle w:val="19"/>
          <w:rFonts w:hint="eastAsia" w:ascii="楷体" w:hAnsi="楷体" w:eastAsia="楷体"/>
          <w:b w:val="0"/>
          <w:bCs w:val="0"/>
          <w:spacing w:val="-4"/>
          <w:sz w:val="32"/>
          <w:szCs w:val="32"/>
          <w:lang w:eastAsia="zh-CN"/>
        </w:rPr>
        <w:t>建设项目</w:t>
      </w:r>
      <w:r>
        <w:rPr>
          <w:rStyle w:val="19"/>
          <w:rFonts w:hint="eastAsia" w:ascii="楷体" w:hAnsi="楷体" w:eastAsia="楷体"/>
          <w:b w:val="0"/>
          <w:bCs w:val="0"/>
          <w:spacing w:val="-4"/>
          <w:sz w:val="32"/>
          <w:szCs w:val="32"/>
        </w:rPr>
        <w:t>工作领导小组，由陈阳任组长，负责项目的组织工作；美合古丽任副组长，负责项目的实施工作；组员包括：美合古丽、冯陶，主要负责项目监督管理、验收以及资金核拨等工作。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3B2DD58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350C2A5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项目产出类指标由4个二级指标和6个三级指标构成，权重分30.00分，实际得分30.00分。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“新建道路公里数（公里）”指标：预期指标值为“等于13”，实际完成指标值为“等于13”，指标完成率为100.00%。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综上所述，本指标满分为8.00分，根据评分标准得8.00分。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“道路验收合规率（%）”指标：预期指标值为“等于100%”，实际完成指标值为“等于100%”，指标完成率为100%。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“工程开工及时率（%）”指标：预期指标值为“等于100%”，实际完成指标值为“等于100%”，指标完成率为100%。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“工程按时完工率（%）”指标：预期指标值为“等于100%”，实际完成指标值为“等于100%”，指标完成率为100%。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“2024年计划支出工程费用（万元）”指标：预期指标值为“小于等于760万元”，实际完成指标值为“等于740.68万元”，指标完成率为100%。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综上所述，本指标满分为7.00分，根据评分标准得7.00分。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“项目预算控制率（%）”指标：预期指标值为“小于等于100%”，实际完成指标值为“等于97.46%”，指标完成率为100%。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综上所述，本指标满分为6.00分，根据评分标准得6.00分。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0984F9F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0AF270D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项目效益类指标由3个二级指标和2个三级指标构成，权重分20.00分，实际得分20.00分。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“项目区基础设施条件”指标：预期指标值为“有效改善”，实际完成指标值为“有效改善”，指标完成率为100.00%。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“吸纳当地劳动力参与建设，带动当地经济发展情况”指标：预期指标值为“增收”，实际完成指标值为“增收”，指标完成率为100.00%。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5070023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“受益群众满意度（%）”指标：预期指标值为“大于等于95%”，实际完成指标值为“等于95%”，指标完成率为100%。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p>
    <w:p w14:paraId="6AE5AA8A">
      <w:pPr>
        <w:spacing w:line="540" w:lineRule="exact"/>
        <w:ind w:firstLine="567"/>
        <w:rPr>
          <w:rStyle w:val="19"/>
          <w:rFonts w:hint="eastAsia" w:ascii="楷体" w:hAnsi="楷体" w:eastAsia="楷体"/>
          <w:b w:val="0"/>
          <w:bCs w:val="0"/>
          <w:spacing w:val="-4"/>
          <w:sz w:val="32"/>
          <w:szCs w:val="32"/>
        </w:rPr>
      </w:pPr>
    </w:p>
    <w:p w14:paraId="2F19B5D3">
      <w:pPr>
        <w:spacing w:line="540" w:lineRule="exact"/>
        <w:ind w:firstLine="567"/>
        <w:rPr>
          <w:rStyle w:val="19"/>
          <w:rFonts w:ascii="楷体" w:hAnsi="楷体" w:eastAsia="楷体"/>
          <w:spacing w:val="-4"/>
          <w:sz w:val="32"/>
          <w:szCs w:val="32"/>
        </w:rPr>
      </w:pPr>
    </w:p>
    <w:p w14:paraId="110C2845">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7CB8A89E">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本项目年初预算资金总额为740.68万元，全年预算数为740.68万元，全年执行数为740.68万元，预算执行率为97.46%。</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本项目共设置三级指标数量20个，满分指标数量20个，扣分指标数量0个，经分析计算所有三级指标完成率得出，本项目总体完成率为100%。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w:t>
      </w:r>
    </w:p>
    <w:p w14:paraId="074C573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0D080578">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在本项目中，前期精准调研，确定新建8公里农村道路等关键内容。项目管理上，明确各方职责，按进度节点检查，保障工期与质量。资金管理严格，专账核算、专款专用，资金流向清晰，劳务报酬及时足额发放。用工向当地群众倾斜，尤其是低收入群体，还开展技能培训，助力群众从“力工”成长为“技工”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部分群众技能水平不足，在道路施工关键环节仍需依赖专业人员指导，导致部分施工进度延缓，原因在于培训时间有限，实践经验积累不足；二是项目建设协调难度较大，因涉及多部门协作及村民诉求统筹，出现临时沟通不畅问题，反映出前期协调机制不够完善，部门间信息共享、联动响应效率待提升。</w:t>
      </w:r>
    </w:p>
    <w:p w14:paraId="114412C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394DF9E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1.？技能不足问题：建立“培训+实践”机制，项目前开展2-3周系统培训，结合理论与实操教学；施工中设“技能导师”一对一指导。项目结束后，联合企业搭建实践平台，定期开展提升培训，助群众稳定就业。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 xml:space="preserve"> 2.？协调困难问题：成立多部门专项协调小组，制定联合办公制度，明确职责并定期开会解决问题。</w:t>
      </w:r>
    </w:p>
    <w:p w14:paraId="32132E71">
      <w:pPr>
        <w:spacing w:line="540" w:lineRule="exact"/>
        <w:ind w:firstLine="567"/>
        <w:rPr>
          <w:rStyle w:val="19"/>
          <w:rFonts w:ascii="仿宋" w:hAnsi="仿宋" w:eastAsia="仿宋"/>
          <w:b w:val="0"/>
          <w:spacing w:val="-4"/>
          <w:sz w:val="32"/>
          <w:szCs w:val="32"/>
        </w:rPr>
      </w:pPr>
    </w:p>
    <w:p w14:paraId="45E35D4B">
      <w:pPr>
        <w:spacing w:line="540" w:lineRule="exact"/>
        <w:ind w:firstLine="567"/>
        <w:rPr>
          <w:rStyle w:val="19"/>
          <w:rFonts w:ascii="仿宋" w:hAnsi="仿宋" w:eastAsia="仿宋"/>
          <w:b w:val="0"/>
          <w:spacing w:val="-4"/>
          <w:sz w:val="32"/>
          <w:szCs w:val="32"/>
        </w:rPr>
      </w:pPr>
    </w:p>
    <w:p w14:paraId="73EA53C1">
      <w:pPr>
        <w:spacing w:line="540" w:lineRule="exact"/>
        <w:ind w:firstLine="567"/>
        <w:rPr>
          <w:rStyle w:val="19"/>
          <w:rFonts w:ascii="仿宋" w:hAnsi="仿宋" w:eastAsia="仿宋"/>
          <w:b w:val="0"/>
          <w:spacing w:val="-4"/>
          <w:sz w:val="32"/>
          <w:szCs w:val="32"/>
        </w:rPr>
      </w:pPr>
    </w:p>
    <w:p w14:paraId="3DBB4A6C">
      <w:pPr>
        <w:spacing w:line="540" w:lineRule="exact"/>
        <w:ind w:firstLine="567"/>
        <w:rPr>
          <w:rStyle w:val="19"/>
          <w:rFonts w:ascii="仿宋" w:hAnsi="仿宋" w:eastAsia="仿宋"/>
          <w:b w:val="0"/>
          <w:spacing w:val="-4"/>
          <w:sz w:val="32"/>
          <w:szCs w:val="32"/>
        </w:rPr>
      </w:pPr>
    </w:p>
    <w:p w14:paraId="4389E725">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5EFAA18">
        <w:pPr>
          <w:pStyle w:val="12"/>
          <w:jc w:val="center"/>
        </w:pPr>
        <w:r>
          <w:fldChar w:fldCharType="begin"/>
        </w:r>
        <w:r>
          <w:instrText xml:space="preserve">PAGE   \* MERGEFORMAT</w:instrText>
        </w:r>
        <w:r>
          <w:fldChar w:fldCharType="separate"/>
        </w:r>
        <w:r>
          <w:rPr>
            <w:lang w:val="zh-CN"/>
          </w:rPr>
          <w:t>2</w:t>
        </w:r>
        <w:r>
          <w:fldChar w:fldCharType="end"/>
        </w:r>
      </w:p>
    </w:sdtContent>
  </w:sdt>
  <w:p w14:paraId="7796D69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12D81762"/>
    <w:rsid w:val="43C13F8C"/>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ac975f00-29f9-45be-ad4f-33489f01786f}">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11545</Words>
  <Characters>12534</Characters>
  <Lines>4</Lines>
  <Paragraphs>1</Paragraphs>
  <TotalTime>8</TotalTime>
  <ScaleCrop>false</ScaleCrop>
  <LinksUpToDate>false</LinksUpToDate>
  <CharactersWithSpaces>12579</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国库科</cp:lastModifiedBy>
  <cp:lastPrinted>2018-12-31T10:56:00Z</cp:lastPrinted>
  <dcterms:modified xsi:type="dcterms:W3CDTF">2025-12-04T07:57:55Z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86A4BE803B594D54BB30BEB283D7FDDD_13</vt:lpwstr>
  </property>
  <property fmtid="{D5CDD505-2E9C-101B-9397-08002B2CF9AE}" pid="4" name="KSOTemplateDocerSaveRecord">
    <vt:lpwstr>eyJoZGlkIjoiNTM1NjJiMTUwNmFhZWNlZmQwNDVjMDAxNDMwM2IwMDkiLCJ1c2VySWQiOiIzNzI2MDMzNTYifQ==</vt:lpwstr>
  </property>
</Properties>
</file>