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吉木萨尔县老台乡卫生院2024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690377C">
      <w:r>
        <w:br w:type="page"/>
      </w:r>
    </w:p>
    <w:p w14:paraId="43536D33">
      <w:pPr>
        <w:spacing w:line="640" w:lineRule="exact"/>
        <w:jc w:val="center"/>
        <w:outlineLvl w:val="1"/>
      </w:pPr>
      <w:r>
        <w:rPr>
          <w:rFonts w:ascii="黑体" w:hAnsi="黑体" w:eastAsia="黑体"/>
          <w:sz w:val="32"/>
        </w:rPr>
        <w:t>第一部分 单位概况</w:t>
      </w:r>
    </w:p>
    <w:p w14:paraId="6A4460BA">
      <w:pPr>
        <w:spacing w:line="640" w:lineRule="exact"/>
        <w:ind w:firstLine="640"/>
        <w:jc w:val="both"/>
        <w:outlineLvl w:val="2"/>
      </w:pPr>
      <w:r>
        <w:rPr>
          <w:rFonts w:ascii="黑体" w:hAnsi="黑体" w:eastAsia="黑体"/>
          <w:sz w:val="32"/>
        </w:rPr>
        <w:t>一、主要职能</w:t>
      </w:r>
    </w:p>
    <w:p w14:paraId="45C7402E">
      <w:pPr>
        <w:spacing w:line="580" w:lineRule="exact"/>
        <w:ind w:firstLine="640"/>
        <w:jc w:val="both"/>
      </w:pPr>
      <w:r>
        <w:rPr>
          <w:rFonts w:ascii="仿宋_GB2312" w:hAnsi="仿宋_GB2312" w:eastAsia="仿宋_GB2312"/>
          <w:sz w:val="32"/>
        </w:rPr>
        <w:t>提供基本公共卫生服务、管理及全民免费体检；提供基本医疗服务。是一所能较好开展基本医疗服务和基本公共卫生服务的非营利性的公益医疗机构。</w:t>
      </w:r>
    </w:p>
    <w:p w14:paraId="46487A80">
      <w:pPr>
        <w:spacing w:line="640" w:lineRule="exact"/>
        <w:ind w:firstLine="640"/>
        <w:jc w:val="both"/>
        <w:outlineLvl w:val="2"/>
      </w:pPr>
      <w:r>
        <w:rPr>
          <w:rFonts w:ascii="黑体" w:hAnsi="黑体" w:eastAsia="黑体"/>
          <w:sz w:val="32"/>
        </w:rPr>
        <w:t>二、机构设置及人员情况</w:t>
      </w:r>
    </w:p>
    <w:p w14:paraId="56D7F688">
      <w:pPr>
        <w:spacing w:line="580" w:lineRule="exact"/>
        <w:ind w:firstLine="640"/>
        <w:jc w:val="both"/>
      </w:pPr>
      <w:r>
        <w:rPr>
          <w:rFonts w:ascii="仿宋_GB2312" w:hAnsi="仿宋_GB2312" w:eastAsia="仿宋_GB2312"/>
          <w:sz w:val="32"/>
        </w:rPr>
        <w:t>吉木萨尔县老台乡卫生院2024年度，实有人数19人，其中：在职人员18人，增加1人；离休人员0人，增加0人；退休人员1人,增加0人。</w:t>
      </w:r>
    </w:p>
    <w:p w14:paraId="14708915">
      <w:pPr>
        <w:spacing w:line="580" w:lineRule="exact"/>
        <w:ind w:firstLine="640"/>
        <w:jc w:val="both"/>
      </w:pPr>
      <w:r>
        <w:rPr>
          <w:rFonts w:ascii="仿宋_GB2312" w:hAnsi="仿宋_GB2312" w:eastAsia="仿宋_GB2312"/>
          <w:sz w:val="32"/>
        </w:rPr>
        <w:t>吉木萨尔县老台乡卫生院无下属预算单位，下设4个科室，分别是：行政办、公卫科、门诊部、护理部。</w:t>
      </w:r>
    </w:p>
    <w:p w14:paraId="330BA5FF">
      <w:r>
        <w:br w:type="page"/>
      </w:r>
    </w:p>
    <w:p w14:paraId="1798FFC4">
      <w:pPr>
        <w:spacing w:line="240" w:lineRule="auto"/>
        <w:jc w:val="center"/>
        <w:outlineLvl w:val="1"/>
      </w:pPr>
      <w:r>
        <w:rPr>
          <w:rFonts w:ascii="黑体" w:hAnsi="黑体" w:eastAsia="黑体"/>
          <w:sz w:val="32"/>
        </w:rPr>
        <w:t>第二部分 部门决算情况说明</w:t>
      </w:r>
    </w:p>
    <w:p w14:paraId="001419F8">
      <w:pPr>
        <w:spacing w:line="640" w:lineRule="exact"/>
        <w:ind w:firstLine="640"/>
        <w:jc w:val="both"/>
        <w:outlineLvl w:val="2"/>
      </w:pPr>
      <w:r>
        <w:rPr>
          <w:rFonts w:ascii="黑体" w:hAnsi="黑体" w:eastAsia="黑体"/>
          <w:sz w:val="32"/>
        </w:rPr>
        <w:t>一、收入支出决算总体情况说明</w:t>
      </w:r>
    </w:p>
    <w:p w14:paraId="540A0734">
      <w:pPr>
        <w:spacing w:line="580" w:lineRule="exact"/>
        <w:ind w:firstLine="640"/>
        <w:jc w:val="both"/>
      </w:pPr>
      <w:r>
        <w:rPr>
          <w:rFonts w:ascii="仿宋_GB2312" w:hAnsi="仿宋_GB2312" w:eastAsia="仿宋_GB2312"/>
          <w:b/>
          <w:sz w:val="32"/>
        </w:rPr>
        <w:t>2024年度收入总计644.37万元，</w:t>
      </w:r>
      <w:r>
        <w:rPr>
          <w:rFonts w:ascii="仿宋_GB2312" w:hAnsi="仿宋_GB2312" w:eastAsia="仿宋_GB2312"/>
          <w:b w:val="0"/>
          <w:sz w:val="32"/>
        </w:rPr>
        <w:t>其中：本年收入合计615.99万元，使用非财政拨款结余（含专用结余）28.39万元，年初结转和结余0.00万元。</w:t>
      </w:r>
    </w:p>
    <w:p w14:paraId="57BE8C20">
      <w:pPr>
        <w:spacing w:line="580" w:lineRule="exact"/>
        <w:ind w:firstLine="640"/>
        <w:jc w:val="both"/>
      </w:pPr>
      <w:r>
        <w:rPr>
          <w:rFonts w:ascii="仿宋_GB2312" w:hAnsi="仿宋_GB2312" w:eastAsia="仿宋_GB2312"/>
          <w:b/>
          <w:sz w:val="32"/>
        </w:rPr>
        <w:t>2024年度支出总计644.37万元，</w:t>
      </w:r>
      <w:r>
        <w:rPr>
          <w:rFonts w:ascii="仿宋_GB2312" w:hAnsi="仿宋_GB2312" w:eastAsia="仿宋_GB2312"/>
          <w:b w:val="0"/>
          <w:sz w:val="32"/>
        </w:rPr>
        <w:t>其中：本年支出合计644.37万元，结余分配0.00万元，年末结转和结余0.00万元。</w:t>
      </w:r>
    </w:p>
    <w:p w14:paraId="6FCA9108">
      <w:pPr>
        <w:spacing w:line="580" w:lineRule="exact"/>
        <w:ind w:firstLine="640"/>
        <w:jc w:val="both"/>
      </w:pPr>
      <w:r>
        <w:rPr>
          <w:rFonts w:ascii="仿宋_GB2312" w:hAnsi="仿宋_GB2312" w:eastAsia="仿宋_GB2312"/>
          <w:b w:val="0"/>
          <w:sz w:val="32"/>
        </w:rPr>
        <w:t>收入支出总体与上年相比，减少5.08万元，下降0.78%，主要原因是：本年减少中央财政基本公共卫生服务补助资金。</w:t>
      </w:r>
    </w:p>
    <w:p w14:paraId="4D6BD06D">
      <w:pPr>
        <w:spacing w:line="640" w:lineRule="exact"/>
        <w:ind w:firstLine="640"/>
        <w:jc w:val="both"/>
        <w:outlineLvl w:val="2"/>
      </w:pPr>
      <w:r>
        <w:rPr>
          <w:rFonts w:ascii="黑体" w:hAnsi="黑体" w:eastAsia="黑体"/>
          <w:sz w:val="32"/>
        </w:rPr>
        <w:t>二、收入决算情况说明</w:t>
      </w:r>
    </w:p>
    <w:p w14:paraId="0E5EA7E7">
      <w:pPr>
        <w:spacing w:line="580" w:lineRule="exact"/>
        <w:ind w:firstLine="640"/>
        <w:jc w:val="both"/>
      </w:pPr>
      <w:r>
        <w:rPr>
          <w:rFonts w:ascii="仿宋_GB2312" w:hAnsi="仿宋_GB2312" w:eastAsia="仿宋_GB2312"/>
          <w:b/>
          <w:sz w:val="32"/>
        </w:rPr>
        <w:t>本年收入615.99万元，</w:t>
      </w:r>
      <w:r>
        <w:rPr>
          <w:rFonts w:ascii="仿宋_GB2312" w:hAnsi="仿宋_GB2312" w:eastAsia="仿宋_GB2312"/>
          <w:b w:val="0"/>
          <w:sz w:val="32"/>
        </w:rPr>
        <w:t>其中：财政拨款收入503.23万元，占81.69%；上级补助收入0.00万元，占0.00%；事业收入106.27万元，占17.25%；经营收入0.00万元，占0.00%；附属单位上缴收入0.00万元，占0.00%；其他收入6.49万元，占1.05%。</w:t>
      </w:r>
    </w:p>
    <w:p w14:paraId="7792A6FE">
      <w:pPr>
        <w:spacing w:line="640" w:lineRule="exact"/>
        <w:ind w:firstLine="640"/>
        <w:jc w:val="both"/>
        <w:outlineLvl w:val="2"/>
      </w:pPr>
      <w:r>
        <w:rPr>
          <w:rFonts w:ascii="黑体" w:hAnsi="黑体" w:eastAsia="黑体"/>
          <w:sz w:val="32"/>
        </w:rPr>
        <w:t>三、支出决算情况说明</w:t>
      </w:r>
    </w:p>
    <w:p w14:paraId="75C68201">
      <w:pPr>
        <w:spacing w:line="580" w:lineRule="exact"/>
        <w:ind w:firstLine="640"/>
        <w:jc w:val="both"/>
      </w:pPr>
      <w:r>
        <w:rPr>
          <w:rFonts w:ascii="仿宋_GB2312" w:hAnsi="仿宋_GB2312" w:eastAsia="仿宋_GB2312"/>
          <w:b/>
          <w:sz w:val="32"/>
        </w:rPr>
        <w:t>本年支出644.37万元，</w:t>
      </w:r>
      <w:r>
        <w:rPr>
          <w:rFonts w:ascii="仿宋_GB2312" w:hAnsi="仿宋_GB2312" w:eastAsia="仿宋_GB2312"/>
          <w:b w:val="0"/>
          <w:sz w:val="32"/>
        </w:rPr>
        <w:t>其中：基本支出479.08万元，占74.35%；项目支出165.29万元，占25.65%；上缴上级支出0.00万元，占0.00%；经营支出0.00万元，占0.00%；对附属单位补助支出0.00万元，占0.00%。</w:t>
      </w:r>
    </w:p>
    <w:p w14:paraId="0B84D5B7">
      <w:pPr>
        <w:spacing w:line="640" w:lineRule="exact"/>
        <w:ind w:firstLine="640"/>
        <w:jc w:val="both"/>
        <w:outlineLvl w:val="2"/>
      </w:pPr>
      <w:r>
        <w:rPr>
          <w:rFonts w:ascii="黑体" w:hAnsi="黑体" w:eastAsia="黑体"/>
          <w:sz w:val="32"/>
        </w:rPr>
        <w:t>四、财政拨款收入支出决算总体情况说明</w:t>
      </w:r>
    </w:p>
    <w:p w14:paraId="0EB14A9D">
      <w:pPr>
        <w:spacing w:line="580" w:lineRule="exact"/>
        <w:ind w:firstLine="640"/>
        <w:jc w:val="both"/>
      </w:pPr>
      <w:r>
        <w:rPr>
          <w:rFonts w:ascii="仿宋_GB2312" w:hAnsi="仿宋_GB2312" w:eastAsia="仿宋_GB2312"/>
          <w:b/>
          <w:sz w:val="32"/>
        </w:rPr>
        <w:t>2024年度财政拨款收入总计503.23万元，</w:t>
      </w:r>
      <w:r>
        <w:rPr>
          <w:rFonts w:ascii="仿宋_GB2312" w:hAnsi="仿宋_GB2312" w:eastAsia="仿宋_GB2312"/>
          <w:b w:val="0"/>
          <w:sz w:val="32"/>
        </w:rPr>
        <w:t>其中：年初财政拨款结转和结余0.00万元，本年财政拨款收入503.23万元。</w:t>
      </w:r>
      <w:r>
        <w:rPr>
          <w:rFonts w:ascii="仿宋_GB2312" w:hAnsi="仿宋_GB2312" w:eastAsia="仿宋_GB2312"/>
          <w:b/>
          <w:sz w:val="32"/>
        </w:rPr>
        <w:t>财政拨款支出总计503.23万元，</w:t>
      </w:r>
      <w:r>
        <w:rPr>
          <w:rFonts w:ascii="仿宋_GB2312" w:hAnsi="仿宋_GB2312" w:eastAsia="仿宋_GB2312"/>
          <w:b w:val="0"/>
          <w:sz w:val="32"/>
        </w:rPr>
        <w:t>其中：年末财政拨款结转和结余0.00万元，本年财政拨款支出503.23万元。</w:t>
      </w:r>
    </w:p>
    <w:p w14:paraId="69F92C8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减少5.12万元，下降1.01%，主要原因是：本年减少中央财政基本公共卫生服务补助资金。</w:t>
      </w:r>
      <w:r>
        <w:rPr>
          <w:rFonts w:ascii="仿宋_GB2312" w:hAnsi="仿宋_GB2312" w:eastAsia="仿宋_GB2312"/>
          <w:b/>
          <w:sz w:val="32"/>
        </w:rPr>
        <w:t>与年初预算相比，</w:t>
      </w:r>
      <w:r>
        <w:rPr>
          <w:rFonts w:ascii="仿宋_GB2312" w:hAnsi="仿宋_GB2312" w:eastAsia="仿宋_GB2312"/>
          <w:b w:val="0"/>
          <w:sz w:val="32"/>
        </w:rPr>
        <w:t>年初预算数346.18万元，决算数503.23万元，预决算差异率45.37%，主要原因是：年中追加全民体检项目资金（县级配套）、基本公共卫生项目资金（县级配套）、吉木萨尔县失能老人健康评估资金等，导致预决算存在差异。</w:t>
      </w:r>
    </w:p>
    <w:p w14:paraId="5A70E30A">
      <w:pPr>
        <w:spacing w:line="640" w:lineRule="exact"/>
        <w:ind w:firstLine="640"/>
        <w:jc w:val="both"/>
        <w:outlineLvl w:val="2"/>
      </w:pPr>
      <w:r>
        <w:rPr>
          <w:rFonts w:ascii="黑体" w:hAnsi="黑体" w:eastAsia="黑体"/>
          <w:sz w:val="32"/>
        </w:rPr>
        <w:t>五、一般公共预算财政拨款支出决算情况说明</w:t>
      </w:r>
    </w:p>
    <w:p w14:paraId="3FC167F8">
      <w:pPr>
        <w:spacing w:line="640" w:lineRule="exact"/>
        <w:ind w:firstLine="640"/>
        <w:jc w:val="both"/>
        <w:outlineLvl w:val="3"/>
      </w:pPr>
      <w:r>
        <w:rPr>
          <w:rFonts w:ascii="楷体_GB2312" w:hAnsi="楷体_GB2312" w:eastAsia="楷体_GB2312"/>
          <w:b/>
          <w:sz w:val="32"/>
        </w:rPr>
        <w:t>（一）一般公共预算财政拨款支出决算总体情况</w:t>
      </w:r>
    </w:p>
    <w:p w14:paraId="0EB7968B">
      <w:pPr>
        <w:spacing w:line="580" w:lineRule="exact"/>
        <w:ind w:firstLine="640"/>
        <w:jc w:val="both"/>
      </w:pPr>
      <w:r>
        <w:rPr>
          <w:rFonts w:ascii="仿宋_GB2312" w:hAnsi="仿宋_GB2312" w:eastAsia="仿宋_GB2312"/>
          <w:b/>
          <w:sz w:val="32"/>
        </w:rPr>
        <w:t>2024年度一般公共预算财政拨款支出498.85万元，</w:t>
      </w:r>
      <w:r>
        <w:rPr>
          <w:rFonts w:ascii="仿宋_GB2312" w:hAnsi="仿宋_GB2312" w:eastAsia="仿宋_GB2312"/>
          <w:b w:val="0"/>
          <w:sz w:val="32"/>
        </w:rPr>
        <w:t>占本年支出合计的77.42%。</w:t>
      </w:r>
      <w:r>
        <w:rPr>
          <w:rFonts w:ascii="仿宋_GB2312" w:hAnsi="仿宋_GB2312" w:eastAsia="仿宋_GB2312"/>
          <w:b/>
          <w:sz w:val="32"/>
        </w:rPr>
        <w:t>与上年相比，</w:t>
      </w:r>
      <w:r>
        <w:rPr>
          <w:rFonts w:ascii="仿宋_GB2312" w:hAnsi="仿宋_GB2312" w:eastAsia="仿宋_GB2312"/>
          <w:b w:val="0"/>
          <w:sz w:val="32"/>
        </w:rPr>
        <w:t>减少9.50万元，下降1.87%，主要原因是：本年减少中央财政基本公共卫生服务补助资金。</w:t>
      </w:r>
      <w:r>
        <w:rPr>
          <w:rFonts w:ascii="仿宋_GB2312" w:hAnsi="仿宋_GB2312" w:eastAsia="仿宋_GB2312"/>
          <w:b/>
          <w:sz w:val="32"/>
        </w:rPr>
        <w:t>与年初预算相比,</w:t>
      </w:r>
      <w:r>
        <w:rPr>
          <w:rFonts w:ascii="仿宋_GB2312" w:hAnsi="仿宋_GB2312" w:eastAsia="仿宋_GB2312"/>
          <w:b w:val="0"/>
          <w:sz w:val="32"/>
        </w:rPr>
        <w:t>年初预算数346.18万元，决算数498.85万元，预决算差异率44.10%，主要原因是：年中追加全民体检项目资金（县级配套）、基本公共卫生项目资金（县级配套）等，导致预决算存在差异。</w:t>
      </w:r>
    </w:p>
    <w:p w14:paraId="36413C98">
      <w:pPr>
        <w:spacing w:line="640" w:lineRule="exact"/>
        <w:ind w:firstLine="640"/>
        <w:jc w:val="both"/>
        <w:outlineLvl w:val="3"/>
      </w:pPr>
      <w:r>
        <w:rPr>
          <w:rFonts w:ascii="楷体_GB2312" w:hAnsi="楷体_GB2312" w:eastAsia="楷体_GB2312"/>
          <w:b/>
          <w:sz w:val="32"/>
        </w:rPr>
        <w:t>（二）一般公共预算财政拨款支出决算结构情况</w:t>
      </w:r>
    </w:p>
    <w:p w14:paraId="3AB37C9C">
      <w:pPr>
        <w:spacing w:line="580" w:lineRule="exact"/>
        <w:ind w:firstLine="640"/>
        <w:jc w:val="both"/>
      </w:pPr>
      <w:r>
        <w:rPr>
          <w:rFonts w:ascii="仿宋_GB2312" w:hAnsi="仿宋_GB2312" w:eastAsia="仿宋_GB2312"/>
          <w:b w:val="0"/>
          <w:sz w:val="32"/>
        </w:rPr>
        <w:t>1.社会保障和就业支出(类)42.37万元,占8.49%。</w:t>
      </w:r>
    </w:p>
    <w:p w14:paraId="0F511E83">
      <w:pPr>
        <w:spacing w:line="580" w:lineRule="exact"/>
        <w:ind w:firstLine="640"/>
        <w:jc w:val="both"/>
      </w:pPr>
      <w:r>
        <w:rPr>
          <w:rFonts w:ascii="仿宋_GB2312" w:hAnsi="仿宋_GB2312" w:eastAsia="仿宋_GB2312"/>
          <w:b w:val="0"/>
          <w:sz w:val="32"/>
        </w:rPr>
        <w:t>2.卫生健康支出(类)434.55万元,占87.11%。</w:t>
      </w:r>
    </w:p>
    <w:p w14:paraId="0154BABE">
      <w:pPr>
        <w:spacing w:line="580" w:lineRule="exact"/>
        <w:ind w:firstLine="640"/>
        <w:jc w:val="both"/>
      </w:pPr>
      <w:r>
        <w:rPr>
          <w:rFonts w:ascii="仿宋_GB2312" w:hAnsi="仿宋_GB2312" w:eastAsia="仿宋_GB2312"/>
          <w:b w:val="0"/>
          <w:sz w:val="32"/>
        </w:rPr>
        <w:t>3.住房保障支出(类)21.93万元,占4.40%。</w:t>
      </w:r>
    </w:p>
    <w:p w14:paraId="69EDDF77">
      <w:pPr>
        <w:spacing w:line="640" w:lineRule="exact"/>
        <w:ind w:firstLine="640"/>
        <w:jc w:val="both"/>
        <w:outlineLvl w:val="3"/>
      </w:pPr>
      <w:r>
        <w:rPr>
          <w:rFonts w:ascii="楷体_GB2312" w:hAnsi="楷体_GB2312" w:eastAsia="楷体_GB2312"/>
          <w:b/>
          <w:sz w:val="32"/>
        </w:rPr>
        <w:t>（三）一般公共预算财政拨款支出决算具体情况</w:t>
      </w:r>
    </w:p>
    <w:p w14:paraId="4FF77BEA">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1.社会保障和就业支出(类)行政事业单位养老支出(款)事业单位离退休(项):支出决算数为0.70万元，比上年决算增加0.42万元，增长150.00%,主要原因是：本年增加退休人员基础绩效奖，退休费支出增加。</w:t>
      </w:r>
    </w:p>
    <w:p w14:paraId="542EB598">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27.78万元，比上年决算增加3.47万元，增长14.27%,主要原因是：本年在职人员工资基数调增，养老缴费基数上涨，相应支出增加。</w:t>
      </w:r>
    </w:p>
    <w:p w14:paraId="12046EE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13.89万元，比上年决算增加1.74万元，增长14.32%,主要原因是：本年在职人员工资调增，职业年金缴费支出增加。</w:t>
      </w:r>
    </w:p>
    <w:p w14:paraId="2DFD1F83">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5.38万元，比上年决算减少0.67万元，下降11.07%,主要原因是：本年减少自治区医疗服务能力与保障能力提升【卫生健康人才培养培训】补助资金。</w:t>
      </w:r>
    </w:p>
    <w:p w14:paraId="08D19119">
      <w:pPr>
        <w:spacing w:line="580" w:lineRule="exact"/>
        <w:ind w:firstLine="640"/>
        <w:jc w:val="both"/>
      </w:pPr>
      <w:r>
        <w:rPr>
          <w:rFonts w:ascii="仿宋_GB2312" w:hAnsi="仿宋_GB2312" w:eastAsia="仿宋_GB2312"/>
          <w:b w:val="0"/>
          <w:sz w:val="32"/>
        </w:rPr>
        <w:t>5.卫生健康支出(类)基层医疗卫生机构(款)乡镇卫生院(项):支出决算数为258.88万元，比上年决算增加14.40万元，增长5.89%,主要原因是：本年在职人员工资调增，相关人员经费增加。</w:t>
      </w:r>
    </w:p>
    <w:p w14:paraId="06EE6982">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6.卫生健康支出(类)基层医疗卫生机构(款)其他基层医疗卫生机构支出(项):支出决算数为17.90万元，比上年决算减少0.64万元，下降3.45%,主要原因是：本年减少中央财政基本药物制度补助资金。</w:t>
      </w:r>
    </w:p>
    <w:p w14:paraId="542B9E0E">
      <w:pPr>
        <w:spacing w:line="580" w:lineRule="exact"/>
        <w:ind w:firstLine="640"/>
        <w:jc w:val="both"/>
      </w:pPr>
      <w:r>
        <w:rPr>
          <w:rFonts w:ascii="仿宋_GB2312" w:hAnsi="仿宋_GB2312" w:eastAsia="仿宋_GB2312"/>
          <w:b w:val="0"/>
          <w:sz w:val="32"/>
        </w:rPr>
        <w:t>7.卫生健康支出(类)公共卫生(款)基本公共卫生服务(项):支出决算数为107.70万元，比上年决算减少44.60万元，下降29.28%,主要原因是：本年减少中央财政基本公共卫生服务补助资金。</w:t>
      </w:r>
    </w:p>
    <w:p w14:paraId="0ADE4A44">
      <w:pPr>
        <w:spacing w:line="580" w:lineRule="exact"/>
        <w:ind w:firstLine="640"/>
        <w:jc w:val="both"/>
      </w:pPr>
      <w:r>
        <w:rPr>
          <w:rFonts w:ascii="仿宋_GB2312" w:hAnsi="仿宋_GB2312" w:eastAsia="仿宋_GB2312"/>
          <w:b w:val="0"/>
          <w:sz w:val="32"/>
        </w:rPr>
        <w:t>8.卫生健康支出(类)公共卫生(款)重大公共卫生服务(项):支出决算数为0.30万元，比上年决算减少1.44万元，下降82.76%,主要原因是：本年减少中央重大传染病补助资金。</w:t>
      </w:r>
    </w:p>
    <w:p w14:paraId="5E0BB76D">
      <w:pPr>
        <w:spacing w:line="580" w:lineRule="exact"/>
        <w:ind w:firstLine="640"/>
        <w:jc w:val="both"/>
      </w:pPr>
      <w:r>
        <w:rPr>
          <w:rFonts w:ascii="仿宋_GB2312" w:hAnsi="仿宋_GB2312" w:eastAsia="仿宋_GB2312"/>
          <w:b w:val="0"/>
          <w:sz w:val="32"/>
        </w:rPr>
        <w:t>9.卫生健康支出(类)公共卫生(款)其他公共卫生支出(项):支出决算数为29.64万元，比上年决算增加13.39万元，增长82.40%,主要原因是：本年增加全民体检项目资金（县级配套）。</w:t>
      </w:r>
    </w:p>
    <w:p w14:paraId="37698A54">
      <w:pPr>
        <w:spacing w:line="580" w:lineRule="exact"/>
        <w:ind w:firstLine="640"/>
        <w:jc w:val="both"/>
      </w:pPr>
      <w:r>
        <w:rPr>
          <w:rFonts w:ascii="仿宋_GB2312" w:hAnsi="仿宋_GB2312" w:eastAsia="仿宋_GB2312"/>
          <w:b w:val="0"/>
          <w:sz w:val="32"/>
        </w:rPr>
        <w:t>10.卫生健康支出(类)行政事业单位医疗(款)事业单位医疗(项):支出决算数为13.89万元，比上年决算增加1.66万元，增长13.57%,主要原因是：本年在职人员工资基数调增，医疗缴费基数上涨，相应支出增加。</w:t>
      </w:r>
    </w:p>
    <w:p w14:paraId="398FDDA6">
      <w:pPr>
        <w:spacing w:line="580" w:lineRule="exact"/>
        <w:ind w:firstLine="640"/>
        <w:jc w:val="both"/>
      </w:pPr>
      <w:r>
        <w:rPr>
          <w:rFonts w:ascii="仿宋_GB2312" w:hAnsi="仿宋_GB2312" w:eastAsia="仿宋_GB2312"/>
          <w:b w:val="0"/>
          <w:sz w:val="32"/>
        </w:rPr>
        <w:t>11.卫生健康支出(类)行政事业单位医疗(款)公务员医疗补助(项):支出决算数为0.87万元，比上年决算增加0.11万元，增长14.47%,主要原因是：本年在职人员工资基数调增，医疗缴费基数上涨，相应支出增加。</w:t>
      </w:r>
    </w:p>
    <w:p w14:paraId="5FD3FE15">
      <w:pPr>
        <w:spacing w:line="580" w:lineRule="exact"/>
        <w:ind w:firstLine="640"/>
        <w:jc w:val="both"/>
      </w:pPr>
      <w:r>
        <w:rPr>
          <w:rFonts w:ascii="仿宋_GB2312" w:hAnsi="仿宋_GB2312" w:eastAsia="仿宋_GB2312"/>
          <w:b w:val="0"/>
          <w:sz w:val="32"/>
        </w:rPr>
        <w:t>12.住房保障支出(类)住房改革支出(款)住房公积金(项):支出决算数为21.93万元，比上年决算增加2.66万元，增长13.80%,主要原因是：本年在职人员工资基数调增，公积金缴费基数上涨，相应支出增加。</w:t>
      </w:r>
    </w:p>
    <w:p w14:paraId="3A12D18B">
      <w:pPr>
        <w:spacing w:line="640" w:lineRule="exact"/>
        <w:ind w:firstLine="640"/>
        <w:jc w:val="both"/>
        <w:outlineLvl w:val="2"/>
      </w:pPr>
      <w:r>
        <w:rPr>
          <w:rFonts w:ascii="黑体" w:hAnsi="黑体" w:eastAsia="黑体"/>
          <w:sz w:val="32"/>
        </w:rPr>
        <w:t>六、一般公共预算财政拨款基本支出决算情况说明</w:t>
      </w:r>
    </w:p>
    <w:p w14:paraId="0CA02C1E">
      <w:pPr>
        <w:spacing w:line="580" w:lineRule="exact"/>
        <w:ind w:firstLine="640"/>
        <w:jc w:val="both"/>
      </w:pPr>
      <w:r>
        <w:rPr>
          <w:rFonts w:ascii="仿宋_GB2312" w:hAnsi="仿宋_GB2312" w:eastAsia="仿宋_GB2312"/>
          <w:b w:val="0"/>
          <w:sz w:val="32"/>
        </w:rPr>
        <w:t>2024年度一般公共预算财政拨款基本支出337.94万元，其中：</w:t>
      </w:r>
      <w:r>
        <w:rPr>
          <w:rFonts w:ascii="仿宋_GB2312" w:hAnsi="仿宋_GB2312" w:eastAsia="仿宋_GB2312"/>
          <w:b/>
          <w:sz w:val="32"/>
        </w:rPr>
        <w:t>人员经费322.28万元，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w:t>
      </w:r>
    </w:p>
    <w:p w14:paraId="09DFC245">
      <w:pPr>
        <w:spacing w:line="580" w:lineRule="exact"/>
        <w:ind w:firstLine="640"/>
        <w:jc w:val="both"/>
      </w:pPr>
      <w:r>
        <w:rPr>
          <w:rFonts w:ascii="仿宋_GB2312" w:hAnsi="仿宋_GB2312" w:eastAsia="仿宋_GB2312"/>
          <w:b/>
          <w:sz w:val="32"/>
        </w:rPr>
        <w:t>公用经费15.66万元，</w:t>
      </w:r>
      <w:r>
        <w:rPr>
          <w:rFonts w:ascii="仿宋_GB2312" w:hAnsi="仿宋_GB2312" w:eastAsia="仿宋_GB2312"/>
          <w:b w:val="0"/>
          <w:sz w:val="32"/>
        </w:rPr>
        <w:t>包括：办公费、水费、电费、维修（护）费、工会经费。</w:t>
      </w:r>
    </w:p>
    <w:p w14:paraId="6DD612C9">
      <w:pPr>
        <w:spacing w:line="640" w:lineRule="exact"/>
        <w:ind w:firstLine="640"/>
        <w:jc w:val="both"/>
        <w:outlineLvl w:val="2"/>
      </w:pPr>
      <w:r>
        <w:rPr>
          <w:rFonts w:ascii="黑体" w:hAnsi="黑体" w:eastAsia="黑体"/>
          <w:sz w:val="32"/>
        </w:rPr>
        <w:t>七、政府性基金预算财政拨款收入支出决算情况说明</w:t>
      </w:r>
    </w:p>
    <w:p w14:paraId="15E5776A">
      <w:pPr>
        <w:spacing w:line="580" w:lineRule="exact"/>
        <w:ind w:firstLine="640"/>
        <w:jc w:val="both"/>
      </w:pPr>
      <w:r>
        <w:rPr>
          <w:rFonts w:ascii="仿宋_GB2312" w:hAnsi="仿宋_GB2312" w:eastAsia="仿宋_GB2312"/>
          <w:b/>
          <w:sz w:val="32"/>
        </w:rPr>
        <w:t>2024年度政府性基金预算财政拨款收入总计4.38万元，</w:t>
      </w:r>
      <w:r>
        <w:rPr>
          <w:rFonts w:ascii="仿宋_GB2312" w:hAnsi="仿宋_GB2312" w:eastAsia="仿宋_GB2312"/>
          <w:b w:val="0"/>
          <w:sz w:val="32"/>
        </w:rPr>
        <w:t>其中：年初结转和结余0.00万元，本年收入4.38万元。</w:t>
      </w:r>
      <w:r>
        <w:rPr>
          <w:rFonts w:ascii="仿宋_GB2312" w:hAnsi="仿宋_GB2312" w:eastAsia="仿宋_GB2312"/>
          <w:b/>
          <w:sz w:val="32"/>
        </w:rPr>
        <w:t>政府性基金预算财政拨款支出总计4.38万元，</w:t>
      </w:r>
      <w:r>
        <w:rPr>
          <w:rFonts w:ascii="仿宋_GB2312" w:hAnsi="仿宋_GB2312" w:eastAsia="仿宋_GB2312"/>
          <w:b w:val="0"/>
          <w:sz w:val="32"/>
        </w:rPr>
        <w:t>其中：年末结转和结余0.00万元，本年支出4.38万元。</w:t>
      </w:r>
    </w:p>
    <w:p w14:paraId="009DC03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增加4.38万元，增长100.00%，主要原因是：本年增加吉木萨尔县失能老人健康评估资金。</w:t>
      </w:r>
      <w:r>
        <w:rPr>
          <w:rFonts w:ascii="仿宋_GB2312" w:hAnsi="仿宋_GB2312" w:eastAsia="仿宋_GB2312"/>
          <w:b/>
          <w:sz w:val="32"/>
        </w:rPr>
        <w:t>与年初预算相比，</w:t>
      </w:r>
      <w:r>
        <w:rPr>
          <w:rFonts w:ascii="仿宋_GB2312" w:hAnsi="仿宋_GB2312" w:eastAsia="仿宋_GB2312"/>
          <w:b w:val="0"/>
          <w:sz w:val="32"/>
        </w:rPr>
        <w:t>年初预算数0.00万元，决算数4.38万元，预决算差异率100.00%，主要原因是：</w:t>
      </w:r>
      <w:r>
        <w:rPr>
          <w:rFonts w:hint="eastAsia" w:ascii="仿宋_GB2312" w:hAnsi="仿宋_GB2312" w:eastAsia="仿宋_GB2312"/>
          <w:b w:val="0"/>
          <w:sz w:val="32"/>
          <w:lang w:val="en-US" w:eastAsia="zh-CN"/>
        </w:rPr>
        <w:t>年中追加</w:t>
      </w:r>
      <w:r>
        <w:rPr>
          <w:rFonts w:ascii="仿宋_GB2312" w:hAnsi="仿宋_GB2312" w:eastAsia="仿宋_GB2312"/>
          <w:b w:val="0"/>
          <w:sz w:val="32"/>
        </w:rPr>
        <w:t>吉木萨尔县失能老人健康评估资金。</w:t>
      </w:r>
    </w:p>
    <w:p w14:paraId="7934D8BE">
      <w:pPr>
        <w:spacing w:line="580" w:lineRule="exact"/>
        <w:ind w:firstLine="640"/>
        <w:jc w:val="both"/>
      </w:pPr>
      <w:r>
        <w:rPr>
          <w:rFonts w:ascii="仿宋_GB2312" w:hAnsi="仿宋_GB2312" w:eastAsia="仿宋_GB2312"/>
          <w:b w:val="0"/>
          <w:sz w:val="32"/>
        </w:rPr>
        <w:t>政府性基金预算财政拨款支出4.38万元。</w:t>
      </w:r>
    </w:p>
    <w:p w14:paraId="2C343FA4">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1.其他支出(类)彩票公益金安排的支出(款)用于社会福利的彩票公益金支出(项):支出决算数为4.38万元，比上年决算增加4.38万元，增长100.00%,主要原因是：本年增加吉木萨尔县失能老人健康评估资金。</w:t>
      </w:r>
    </w:p>
    <w:p w14:paraId="69DDE5E8">
      <w:pPr>
        <w:spacing w:line="640" w:lineRule="exact"/>
        <w:ind w:firstLine="640"/>
        <w:jc w:val="both"/>
        <w:outlineLvl w:val="2"/>
      </w:pPr>
      <w:r>
        <w:rPr>
          <w:rFonts w:ascii="黑体" w:hAnsi="黑体" w:eastAsia="黑体"/>
          <w:sz w:val="32"/>
        </w:rPr>
        <w:t>八、国有资本经营预算财政拨款收入支出决算情况说明</w:t>
      </w:r>
    </w:p>
    <w:p w14:paraId="1C34979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AD3415A">
      <w:pPr>
        <w:spacing w:line="640" w:lineRule="exact"/>
        <w:ind w:firstLine="640"/>
        <w:jc w:val="both"/>
        <w:outlineLvl w:val="2"/>
      </w:pPr>
      <w:r>
        <w:rPr>
          <w:rFonts w:ascii="黑体" w:hAnsi="黑体" w:eastAsia="黑体"/>
          <w:sz w:val="32"/>
        </w:rPr>
        <w:t>九、财政拨款“三公”经费支出决算情况说明</w:t>
      </w:r>
    </w:p>
    <w:p w14:paraId="29F6A6B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9F84D3F">
      <w:pPr>
        <w:spacing w:line="580" w:lineRule="exact"/>
        <w:ind w:firstLine="640"/>
        <w:jc w:val="both"/>
      </w:pPr>
      <w:r>
        <w:rPr>
          <w:rFonts w:ascii="仿宋_GB2312" w:hAnsi="仿宋_GB2312" w:eastAsia="仿宋_GB2312"/>
          <w:b/>
          <w:sz w:val="32"/>
        </w:rPr>
        <w:t>具体情况如下：</w:t>
      </w:r>
    </w:p>
    <w:p w14:paraId="4D1F7B6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FDCC17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2F82FD2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D306F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A85BCF1">
      <w:pPr>
        <w:spacing w:line="640" w:lineRule="exact"/>
        <w:ind w:firstLine="640"/>
        <w:jc w:val="both"/>
        <w:outlineLvl w:val="2"/>
      </w:pPr>
      <w:r>
        <w:rPr>
          <w:rFonts w:ascii="黑体" w:hAnsi="黑体" w:eastAsia="黑体"/>
          <w:sz w:val="32"/>
        </w:rPr>
        <w:t>十、其他重要事项的情况说明</w:t>
      </w:r>
    </w:p>
    <w:p w14:paraId="0EAE4068">
      <w:pPr>
        <w:spacing w:line="640" w:lineRule="exact"/>
        <w:ind w:firstLine="640"/>
        <w:jc w:val="both"/>
        <w:outlineLvl w:val="3"/>
      </w:pPr>
      <w:r>
        <w:rPr>
          <w:rFonts w:ascii="楷体_GB2312" w:hAnsi="楷体_GB2312" w:eastAsia="楷体_GB2312"/>
          <w:b/>
          <w:sz w:val="32"/>
        </w:rPr>
        <w:t>（一）机关运行经费及公用经费支出情况</w:t>
      </w:r>
    </w:p>
    <w:p w14:paraId="378D410D">
      <w:pPr>
        <w:spacing w:line="580" w:lineRule="exact"/>
        <w:ind w:firstLine="640"/>
        <w:jc w:val="both"/>
      </w:pPr>
      <w:r>
        <w:rPr>
          <w:rFonts w:ascii="仿宋_GB2312" w:hAnsi="仿宋_GB2312" w:eastAsia="仿宋_GB2312"/>
          <w:b w:val="0"/>
          <w:sz w:val="32"/>
        </w:rPr>
        <w:t>2024年度吉木萨尔县老台乡卫生院（事业单位）公用经费支出15.66万元，比上年增加1.04万元，增长7.11%，主要原因是：本年更新、维护补充办公用品，导致公用经费增加。</w:t>
      </w:r>
    </w:p>
    <w:p w14:paraId="1A70FB32">
      <w:pPr>
        <w:spacing w:line="640" w:lineRule="exact"/>
        <w:ind w:firstLine="640"/>
        <w:jc w:val="both"/>
        <w:outlineLvl w:val="3"/>
      </w:pPr>
      <w:r>
        <w:rPr>
          <w:rFonts w:ascii="楷体_GB2312" w:hAnsi="楷体_GB2312" w:eastAsia="楷体_GB2312"/>
          <w:b/>
          <w:sz w:val="32"/>
        </w:rPr>
        <w:t>（二）政府采购情况</w:t>
      </w:r>
    </w:p>
    <w:p w14:paraId="6AB50B80">
      <w:pPr>
        <w:spacing w:line="580" w:lineRule="exact"/>
        <w:ind w:firstLine="640"/>
        <w:jc w:val="both"/>
      </w:pPr>
      <w:r>
        <w:rPr>
          <w:rFonts w:ascii="仿宋_GB2312" w:hAnsi="仿宋_GB2312" w:eastAsia="仿宋_GB2312"/>
          <w:b w:val="0"/>
          <w:sz w:val="32"/>
        </w:rPr>
        <w:t>2024年度政府采购支出总额7.60万元，其中：政府采购货物支出5.51万元、政府采购工程支出0.00万元、政府采购服务支出2.09万元。</w:t>
      </w:r>
    </w:p>
    <w:p w14:paraId="26A1E47A">
      <w:pPr>
        <w:spacing w:line="580" w:lineRule="exact"/>
        <w:ind w:firstLine="640"/>
        <w:jc w:val="both"/>
      </w:pPr>
      <w:r>
        <w:rPr>
          <w:rFonts w:ascii="仿宋_GB2312" w:hAnsi="仿宋_GB2312" w:eastAsia="仿宋_GB2312"/>
          <w:b w:val="0"/>
          <w:sz w:val="32"/>
        </w:rPr>
        <w:t>授予中小企业合同金额5.42万元，占政府采购支出总额的71.32%，其中：授予小微企业合同金额4.54万元，占政府采购支出总额的59.74%。</w:t>
      </w:r>
    </w:p>
    <w:p w14:paraId="6A8C399D">
      <w:pPr>
        <w:spacing w:line="640" w:lineRule="exact"/>
        <w:ind w:firstLine="640"/>
        <w:jc w:val="both"/>
        <w:outlineLvl w:val="3"/>
      </w:pPr>
      <w:r>
        <w:rPr>
          <w:rFonts w:ascii="楷体_GB2312" w:hAnsi="楷体_GB2312" w:eastAsia="楷体_GB2312"/>
          <w:b/>
          <w:sz w:val="32"/>
        </w:rPr>
        <w:t>（三）国有资产占用情况说明</w:t>
      </w:r>
    </w:p>
    <w:p w14:paraId="4B8C8CD7">
      <w:pPr>
        <w:spacing w:line="580" w:lineRule="exact"/>
        <w:ind w:firstLine="640"/>
        <w:jc w:val="both"/>
      </w:pPr>
      <w:r>
        <w:rPr>
          <w:rFonts w:ascii="仿宋_GB2312" w:hAnsi="仿宋_GB2312" w:eastAsia="仿宋_GB2312"/>
          <w:b w:val="0"/>
          <w:sz w:val="32"/>
        </w:rPr>
        <w:t>截至2024年12月31日，房屋1,679.94平方米，价值288.93万元。车辆2辆，价值35.37万元，其中：副部（省）级及以上领导用车0辆、主要负责人用车0辆、机要通信用车0辆、应急保障用车0辆、执法执勤用车0辆、特种专业技术用车2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w w:val="97"/>
          <w:sz w:val="32"/>
        </w:rPr>
        <w:t>无其他用车。单价100万元（含）以上设备（不含车辆）0台（套）。</w:t>
      </w:r>
    </w:p>
    <w:p w14:paraId="5F45534D">
      <w:pPr>
        <w:spacing w:line="640" w:lineRule="exact"/>
        <w:ind w:firstLine="640"/>
        <w:jc w:val="both"/>
        <w:outlineLvl w:val="2"/>
      </w:pPr>
      <w:r>
        <w:rPr>
          <w:rFonts w:ascii="黑体" w:hAnsi="黑体" w:eastAsia="黑体"/>
          <w:sz w:val="32"/>
        </w:rPr>
        <w:t>十一、预算绩效的情况说明</w:t>
      </w:r>
    </w:p>
    <w:p w14:paraId="04F1D9E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644.37万元，实际执行总额644.37万元；预算绩效评价项目4个，全年预算数77.73万元，全年执行数77.73万元。预算绩效管理取得的成效：我院完成了全民体检任务并规范居民健康档案，做到了健康档案内容详实、填写规范。对辖区65岁及以上老年人进行登记管理，进行健康危险因素调查和一般体格检查，提供疾病预防、自我保健及伤害预防、自救等健康指导是老年人健康管理的主要内容。在居民健康建档的一开始，我们就将老年人作为重点人群来健康管理，对慢性病（高血压和糖尿病）管理，慢性病管理，主要是对高血压、2型糖尿病等慢性病高危人群进行健康指导。对35岁以上人群实行门诊首诊测血压。对确诊高血压和糖尿病的患者进行登记管理，定期进行随访，并对他们进行体格检查及用药、饮食、运动、心理等健康指导。加强医护患沟通提倡人性化服务，重点加强基础理论及基本操作技术的提高，理论与实践相结合，狠抓落实，认真实施，圆满地完成了医疗护理上的各项工作任务。发现的问题及原因：（一）我院卫生技术人员综合素质偏低，卫技人员比例不足，全科医师尤其是骨干医师少，人才缺乏，后备力量不足。（二）今年全民体检工作中，针对慢病患者及老年人的便民措施力度不够，</w:t>
      </w:r>
      <w:r>
        <w:rPr>
          <w:rFonts w:hint="eastAsia" w:ascii="仿宋_GB2312" w:hAnsi="仿宋_GB2312" w:eastAsia="仿宋_GB2312"/>
          <w:b w:val="0"/>
          <w:sz w:val="32"/>
          <w:lang w:eastAsia="zh-CN"/>
        </w:rPr>
        <w:t>需要</w:t>
      </w:r>
      <w:r>
        <w:rPr>
          <w:rFonts w:ascii="仿宋_GB2312" w:hAnsi="仿宋_GB2312" w:eastAsia="仿宋_GB2312"/>
          <w:b w:val="0"/>
          <w:sz w:val="32"/>
        </w:rPr>
        <w:t>加强引导让体检群众享受更优质贴心的服务。下一步改进措施：一是加强各科室及时对接项目实施，明确分工，协调专人负责该项工作。二是将进一步加强绩效管理工作人员的培训和学习工作。三是通过对每笔资金的精细化管理来保障资金使用的合</w:t>
      </w:r>
      <w:r>
        <w:rPr>
          <w:rFonts w:hint="eastAsia" w:ascii="仿宋_GB2312" w:hAnsi="仿宋_GB2312" w:eastAsia="仿宋_GB2312"/>
          <w:b w:val="0"/>
          <w:sz w:val="32"/>
          <w:lang w:eastAsia="zh-CN"/>
        </w:rPr>
        <w:t>规性</w:t>
      </w:r>
      <w:r>
        <w:rPr>
          <w:rFonts w:ascii="仿宋_GB2312" w:hAnsi="仿宋_GB2312" w:eastAsia="仿宋_GB2312"/>
          <w:b w:val="0"/>
          <w:sz w:val="32"/>
        </w:rPr>
        <w:t>、合法性，并据此分析各类资金支出产生的效益，使本单位的绩效监控工作上一个新台阶。具体附整体支出绩效自评表，项目支出绩效自评表。</w:t>
      </w:r>
    </w:p>
    <w:p w14:paraId="4C64C2D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D85C113">
        <w:tblPrEx>
          <w:tblCellMar>
            <w:top w:w="0" w:type="dxa"/>
            <w:left w:w="108" w:type="dxa"/>
            <w:bottom w:w="0" w:type="dxa"/>
            <w:right w:w="108" w:type="dxa"/>
          </w:tblCellMar>
        </w:tblPrEx>
        <w:tc>
          <w:tcPr>
            <w:tcW w:w="8847" w:type="dxa"/>
            <w:gridSpan w:val="9"/>
            <w:vAlign w:val="center"/>
          </w:tcPr>
          <w:p w14:paraId="11999243">
            <w:pPr>
              <w:jc w:val="center"/>
            </w:pPr>
            <w:r>
              <w:rPr>
                <w:rFonts w:ascii="宋体" w:hAnsi="宋体" w:eastAsia="宋体"/>
                <w:sz w:val="24"/>
              </w:rPr>
              <w:t>单位整体支出绩效自评表</w:t>
            </w:r>
          </w:p>
        </w:tc>
      </w:tr>
      <w:tr w14:paraId="17A04732">
        <w:tblPrEx>
          <w:tblCellMar>
            <w:top w:w="0" w:type="dxa"/>
            <w:left w:w="108" w:type="dxa"/>
            <w:bottom w:w="0" w:type="dxa"/>
            <w:right w:w="108" w:type="dxa"/>
          </w:tblCellMar>
        </w:tblPrEx>
        <w:tc>
          <w:tcPr>
            <w:tcW w:w="8847" w:type="dxa"/>
            <w:gridSpan w:val="9"/>
            <w:vAlign w:val="center"/>
          </w:tcPr>
          <w:p w14:paraId="2D24FC4B">
            <w:pPr>
              <w:jc w:val="center"/>
            </w:pPr>
            <w:r>
              <w:rPr>
                <w:rFonts w:ascii="宋体" w:hAnsi="宋体" w:eastAsia="宋体"/>
                <w:sz w:val="24"/>
              </w:rPr>
              <w:t>（2024年度）</w:t>
            </w:r>
          </w:p>
        </w:tc>
      </w:tr>
      <w:tr w14:paraId="254D45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EF3F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10F9E49">
            <w:pPr>
              <w:jc w:val="center"/>
            </w:pPr>
            <w:r>
              <w:rPr>
                <w:rFonts w:ascii="宋体" w:hAnsi="宋体" w:eastAsia="宋体"/>
                <w:sz w:val="16"/>
              </w:rPr>
              <w:t>吉木萨尔县老台乡卫生院</w:t>
            </w:r>
          </w:p>
        </w:tc>
      </w:tr>
      <w:tr w14:paraId="3434D13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0F2D4">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3B2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12DE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0C24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F0D4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0B2E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2F42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C7380">
            <w:pPr>
              <w:jc w:val="center"/>
            </w:pPr>
            <w:r>
              <w:rPr>
                <w:rFonts w:ascii="宋体" w:hAnsi="宋体" w:eastAsia="宋体"/>
                <w:sz w:val="16"/>
              </w:rPr>
              <w:t>得分</w:t>
            </w:r>
          </w:p>
        </w:tc>
      </w:tr>
      <w:tr w14:paraId="75D7DC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86B7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5D18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0B4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D7DCF6">
            <w:pPr>
              <w:jc w:val="center"/>
            </w:pPr>
            <w:r>
              <w:rPr>
                <w:rFonts w:ascii="宋体" w:hAnsi="宋体" w:eastAsia="宋体"/>
                <w:sz w:val="16"/>
              </w:rPr>
              <w:t>165.29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CBE37">
            <w:pPr>
              <w:jc w:val="center"/>
            </w:pPr>
            <w:r>
              <w:rPr>
                <w:rFonts w:ascii="宋体" w:hAnsi="宋体" w:eastAsia="宋体"/>
                <w:sz w:val="16"/>
              </w:rPr>
              <w:t>165.29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740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9586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3E51">
            <w:pPr>
              <w:jc w:val="center"/>
            </w:pPr>
            <w:r>
              <w:rPr>
                <w:rFonts w:ascii="宋体" w:hAnsi="宋体" w:eastAsia="宋体"/>
                <w:sz w:val="16"/>
              </w:rPr>
              <w:t>-</w:t>
            </w:r>
          </w:p>
        </w:tc>
      </w:tr>
      <w:tr w14:paraId="687CF6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F12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C1BD2">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53AF0">
            <w:pPr>
              <w:jc w:val="center"/>
            </w:pPr>
            <w:r>
              <w:rPr>
                <w:rFonts w:ascii="宋体" w:hAnsi="宋体" w:eastAsia="宋体"/>
                <w:sz w:val="16"/>
              </w:rPr>
              <w:t>346.18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D9F05">
            <w:pPr>
              <w:jc w:val="center"/>
            </w:pPr>
            <w:r>
              <w:rPr>
                <w:rFonts w:ascii="宋体" w:hAnsi="宋体" w:eastAsia="宋体"/>
                <w:sz w:val="16"/>
              </w:rPr>
              <w:t>479.08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6DEA7">
            <w:pPr>
              <w:jc w:val="center"/>
            </w:pPr>
            <w:r>
              <w:rPr>
                <w:rFonts w:ascii="宋体" w:hAnsi="宋体" w:eastAsia="宋体"/>
                <w:sz w:val="16"/>
              </w:rPr>
              <w:t>479.08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1030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E70D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C2BE4">
            <w:pPr>
              <w:jc w:val="center"/>
            </w:pPr>
            <w:r>
              <w:rPr>
                <w:rFonts w:ascii="宋体" w:hAnsi="宋体" w:eastAsia="宋体"/>
                <w:sz w:val="16"/>
              </w:rPr>
              <w:t>-</w:t>
            </w:r>
          </w:p>
        </w:tc>
      </w:tr>
      <w:tr w14:paraId="4E321E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755BA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F6905">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7011CA">
            <w:pPr>
              <w:jc w:val="center"/>
            </w:pPr>
            <w:r>
              <w:rPr>
                <w:rFonts w:ascii="宋体" w:hAnsi="宋体" w:eastAsia="宋体"/>
                <w:sz w:val="16"/>
              </w:rPr>
              <w:t>105.60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8498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D75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DB8F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57E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F7039">
            <w:pPr>
              <w:jc w:val="center"/>
            </w:pPr>
            <w:r>
              <w:rPr>
                <w:rFonts w:ascii="宋体" w:hAnsi="宋体" w:eastAsia="宋体"/>
                <w:sz w:val="16"/>
              </w:rPr>
              <w:t>-</w:t>
            </w:r>
          </w:p>
        </w:tc>
      </w:tr>
      <w:tr w14:paraId="2C919D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DE6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43959">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C6E76">
            <w:pPr>
              <w:jc w:val="center"/>
            </w:pPr>
            <w:r>
              <w:rPr>
                <w:rFonts w:ascii="宋体" w:hAnsi="宋体" w:eastAsia="宋体"/>
                <w:sz w:val="16"/>
              </w:rPr>
              <w:t>451.78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ECC81">
            <w:pPr>
              <w:jc w:val="center"/>
            </w:pPr>
            <w:r>
              <w:rPr>
                <w:rFonts w:ascii="宋体" w:hAnsi="宋体" w:eastAsia="宋体"/>
                <w:sz w:val="16"/>
              </w:rPr>
              <w:t>644.37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37194">
            <w:pPr>
              <w:jc w:val="center"/>
            </w:pPr>
            <w:r>
              <w:rPr>
                <w:rFonts w:ascii="宋体" w:hAnsi="宋体" w:eastAsia="宋体"/>
                <w:sz w:val="16"/>
              </w:rPr>
              <w:t>644.37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6D35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359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65A91">
            <w:pPr>
              <w:jc w:val="center"/>
            </w:pPr>
            <w:r>
              <w:rPr>
                <w:rFonts w:ascii="宋体" w:hAnsi="宋体" w:eastAsia="宋体"/>
                <w:sz w:val="16"/>
              </w:rPr>
              <w:t>10</w:t>
            </w:r>
          </w:p>
        </w:tc>
      </w:tr>
      <w:tr w14:paraId="4F284AC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8C60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ADA4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3EAF14">
            <w:pPr>
              <w:jc w:val="center"/>
            </w:pPr>
            <w:r>
              <w:rPr>
                <w:rFonts w:ascii="宋体" w:hAnsi="宋体" w:eastAsia="宋体"/>
                <w:sz w:val="16"/>
              </w:rPr>
              <w:t>实际完成情况</w:t>
            </w:r>
          </w:p>
        </w:tc>
      </w:tr>
      <w:tr w14:paraId="1C37D0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2520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53345D">
            <w:pPr>
              <w:jc w:val="both"/>
            </w:pPr>
            <w:r>
              <w:rPr>
                <w:rFonts w:ascii="宋体" w:hAnsi="宋体" w:eastAsia="宋体"/>
                <w:sz w:val="16"/>
              </w:rPr>
              <w:t>保障老台乡卫生院在职人员工资津贴补贴，社会保障缴费，住房公积金等；公用经费保障卫生院的正常运行。其他资金主要是单位事业收入。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068DA7">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644.37万元，全年执行数为644.37万元，主要完成任务内容如下：一是一、党风行风廉政建设方面。扎实推进党建工作，坚持把党建工作和业务工作相结合，严格执行“三会一课”“三重一大”制度，坚决落实党建工作各项制度，完善组织生活会制度、加强党员教育、严格党员管理。我院党支部每月定期召开1次党员大会、1次党课、每月开展集中学习1次。二是二、基本医疗服务情况。严格执行诊疗常规和操作规程、门诊病历、处方书写规范,认真执行护理常规、基础护理工作无漏洞。建立健全医院感染管理制度,成立组织,落实专人、责任到位。三是公共卫生工作开展情况。（一）辖区常住居民数9758人，截至目前建档7858人，健康档案建档率80.53%；糖尿病建档人数251人；</w:t>
            </w:r>
            <w:r>
              <w:rPr>
                <w:rFonts w:hint="eastAsia" w:ascii="宋体" w:hAnsi="宋体"/>
                <w:sz w:val="16"/>
                <w:lang w:eastAsia="zh-CN"/>
              </w:rPr>
              <w:t>截至11月</w:t>
            </w:r>
            <w:r>
              <w:rPr>
                <w:rFonts w:ascii="宋体" w:hAnsi="宋体" w:eastAsia="宋体"/>
                <w:sz w:val="16"/>
              </w:rPr>
              <w:t>30日规范管理131人，管理率为52.19%；高血压建档人数847人，</w:t>
            </w:r>
            <w:r>
              <w:rPr>
                <w:rFonts w:hint="eastAsia" w:ascii="宋体" w:hAnsi="宋体"/>
                <w:sz w:val="16"/>
                <w:lang w:eastAsia="zh-CN"/>
              </w:rPr>
              <w:t>截至</w:t>
            </w:r>
            <w:r>
              <w:rPr>
                <w:rFonts w:ascii="宋体" w:hAnsi="宋体" w:eastAsia="宋体"/>
                <w:sz w:val="16"/>
              </w:rPr>
              <w:t>11月30日</w:t>
            </w:r>
            <w:r>
              <w:rPr>
                <w:rFonts w:hint="eastAsia" w:ascii="宋体" w:hAnsi="宋体"/>
                <w:sz w:val="16"/>
                <w:lang w:eastAsia="zh-CN"/>
              </w:rPr>
              <w:t>规范管理</w:t>
            </w:r>
            <w:r>
              <w:rPr>
                <w:rFonts w:ascii="宋体" w:hAnsi="宋体" w:eastAsia="宋体"/>
                <w:sz w:val="16"/>
              </w:rPr>
              <w:t>512人，管理率为60.45%；（二）全民体检工作，2024年全乡全民健康体检4179人，其中免费体检0-6岁儿童150人，7-14岁学生196人，15-64岁人群免费体检2793人，65-79岁老年人免费体检709人，80岁以上老年人免费体检168人，职工体检163人。同时为所有的参检者建立了纸质健康档案和电子档案，电子档案录入率为100%，体检完成率为97.18%。体检出A类阳性35人，B类阳性34人，均按规范要求</w:t>
            </w:r>
            <w:r>
              <w:rPr>
                <w:rFonts w:hint="eastAsia" w:ascii="宋体" w:hAnsi="宋体"/>
                <w:sz w:val="16"/>
                <w:lang w:eastAsia="zh-CN"/>
              </w:rPr>
              <w:t>给予</w:t>
            </w:r>
            <w:r>
              <w:rPr>
                <w:rFonts w:ascii="宋体" w:hAnsi="宋体" w:eastAsia="宋体"/>
                <w:sz w:val="16"/>
              </w:rPr>
              <w:t>处理。</w:t>
            </w:r>
          </w:p>
        </w:tc>
      </w:tr>
      <w:tr w14:paraId="3D0AFC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159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CC464">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7713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8240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6F3F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9A49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8213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892D4E">
            <w:pPr>
              <w:jc w:val="center"/>
            </w:pPr>
            <w:r>
              <w:rPr>
                <w:rFonts w:ascii="宋体" w:hAnsi="宋体" w:eastAsia="宋体"/>
                <w:sz w:val="16"/>
              </w:rPr>
              <w:t>得分</w:t>
            </w:r>
          </w:p>
        </w:tc>
      </w:tr>
      <w:tr w14:paraId="3CDCFF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C6BD4E">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2CE2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A0099">
            <w:pPr>
              <w:jc w:val="center"/>
            </w:pPr>
            <w:r>
              <w:rPr>
                <w:rFonts w:ascii="宋体" w:hAnsi="宋体" w:eastAsia="宋体"/>
                <w:sz w:val="16"/>
              </w:rPr>
              <w:t>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EE762">
            <w:pPr>
              <w:jc w:val="center"/>
            </w:pPr>
            <w:r>
              <w:rPr>
                <w:rFonts w:ascii="宋体" w:hAnsi="宋体" w:eastAsia="宋体"/>
                <w:sz w:val="16"/>
              </w:rPr>
              <w:t>&gt;=17人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3CE395">
            <w:pPr>
              <w:jc w:val="center"/>
            </w:pPr>
            <w:r>
              <w:rPr>
                <w:rFonts w:ascii="宋体" w:hAnsi="宋体" w:eastAsia="宋体"/>
                <w:sz w:val="16"/>
              </w:rPr>
              <w:t>吉木萨尔县总医院老台分院工资表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893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93CA5">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5663E">
            <w:pPr>
              <w:jc w:val="center"/>
            </w:pPr>
            <w:r>
              <w:rPr>
                <w:rFonts w:ascii="宋体" w:hAnsi="宋体" w:eastAsia="宋体"/>
                <w:sz w:val="16"/>
              </w:rPr>
              <w:t>8</w:t>
            </w:r>
          </w:p>
        </w:tc>
      </w:tr>
      <w:tr w14:paraId="3E50DD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3A5C8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891D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C9301">
            <w:pPr>
              <w:jc w:val="center"/>
            </w:pPr>
            <w:r>
              <w:rPr>
                <w:rFonts w:ascii="宋体" w:hAnsi="宋体" w:eastAsia="宋体"/>
                <w:sz w:val="16"/>
              </w:rPr>
              <w:t>村医人员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3F615">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92588">
            <w:pPr>
              <w:jc w:val="center"/>
            </w:pPr>
            <w:r>
              <w:rPr>
                <w:rFonts w:ascii="宋体" w:hAnsi="宋体" w:eastAsia="宋体"/>
                <w:sz w:val="16"/>
              </w:rPr>
              <w:t>吉木萨尔县总医院老台分院工资表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E2B8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92F26">
            <w:pPr>
              <w:jc w:val="center"/>
            </w:pPr>
            <w:r>
              <w:rPr>
                <w:rFonts w:ascii="宋体" w:hAnsi="宋体" w:eastAsia="宋体"/>
                <w:sz w:val="16"/>
              </w:rPr>
              <w: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63E1D">
            <w:pPr>
              <w:jc w:val="center"/>
            </w:pPr>
            <w:r>
              <w:rPr>
                <w:rFonts w:ascii="宋体" w:hAnsi="宋体" w:eastAsia="宋体"/>
                <w:sz w:val="16"/>
              </w:rPr>
              <w:t>5</w:t>
            </w:r>
          </w:p>
        </w:tc>
      </w:tr>
      <w:tr w14:paraId="432302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37C71">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AF73F">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DCEF9">
            <w:pPr>
              <w:jc w:val="center"/>
            </w:pPr>
            <w:r>
              <w:rPr>
                <w:rFonts w:ascii="宋体" w:hAnsi="宋体" w:eastAsia="宋体"/>
                <w:sz w:val="16"/>
              </w:rPr>
              <w:t>健康档案建档率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6CEE9">
            <w:pPr>
              <w:jc w:val="center"/>
            </w:pPr>
            <w:r>
              <w:rPr>
                <w:rFonts w:ascii="宋体" w:hAnsi="宋体" w:eastAsia="宋体"/>
                <w:sz w:val="16"/>
              </w:rPr>
              <w:t>&gt;=83.73%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D6AB5">
            <w:pPr>
              <w:jc w:val="center"/>
            </w:pPr>
            <w:r>
              <w:rPr>
                <w:rFonts w:ascii="宋体" w:hAnsi="宋体" w:eastAsia="宋体"/>
                <w:sz w:val="16"/>
              </w:rPr>
              <w:t>吉木萨尔县总医院老台分院2023年工作总结及2024年工作计划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A6045">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02312">
            <w:pPr>
              <w:jc w:val="center"/>
            </w:pPr>
            <w:r>
              <w:rPr>
                <w:rFonts w:ascii="宋体" w:hAnsi="宋体" w:eastAsia="宋体"/>
                <w:sz w:val="16"/>
              </w:rPr>
              <w:t>=81.22%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54863">
            <w:pPr>
              <w:jc w:val="center"/>
            </w:pPr>
            <w:r>
              <w:rPr>
                <w:rFonts w:ascii="宋体" w:hAnsi="宋体" w:eastAsia="宋体"/>
                <w:sz w:val="16"/>
              </w:rPr>
              <w:t>10.67</w:t>
            </w:r>
          </w:p>
        </w:tc>
      </w:tr>
      <w:tr w14:paraId="4CAA22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F73BD">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B05E7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5CCA6">
            <w:pPr>
              <w:jc w:val="center"/>
            </w:pPr>
            <w:r>
              <w:rPr>
                <w:rFonts w:ascii="宋体" w:hAnsi="宋体" w:eastAsia="宋体"/>
                <w:sz w:val="16"/>
              </w:rPr>
              <w:t>严重精神障碍患者管理率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252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08D21">
            <w:pPr>
              <w:jc w:val="center"/>
            </w:pPr>
            <w:r>
              <w:rPr>
                <w:rFonts w:ascii="宋体" w:hAnsi="宋体" w:eastAsia="宋体"/>
                <w:sz w:val="16"/>
              </w:rPr>
              <w:t>吉木萨尔县总医院老台分院2023年工作总结及2024年工作计划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0A58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352A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038E4">
            <w:pPr>
              <w:jc w:val="center"/>
            </w:pPr>
            <w:r>
              <w:rPr>
                <w:rFonts w:ascii="宋体" w:hAnsi="宋体" w:eastAsia="宋体"/>
                <w:sz w:val="16"/>
              </w:rPr>
              <w:t>15</w:t>
            </w:r>
          </w:p>
        </w:tc>
      </w:tr>
      <w:tr w14:paraId="42A21B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685B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282D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DC40A">
            <w:pPr>
              <w:jc w:val="center"/>
            </w:pPr>
            <w:r>
              <w:rPr>
                <w:rFonts w:ascii="宋体" w:hAnsi="宋体" w:eastAsia="宋体"/>
                <w:sz w:val="16"/>
              </w:rPr>
              <w:t>疫苗接种率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0AA4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A9A31">
            <w:pPr>
              <w:jc w:val="center"/>
            </w:pPr>
            <w:r>
              <w:rPr>
                <w:rFonts w:ascii="宋体" w:hAnsi="宋体" w:eastAsia="宋体"/>
                <w:sz w:val="16"/>
              </w:rPr>
              <w:t>吉木萨尔县总医院老台分院2023年工作总结及2024年工作计划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DE3B">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91A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3C6F">
            <w:pPr>
              <w:jc w:val="center"/>
            </w:pPr>
            <w:r>
              <w:rPr>
                <w:rFonts w:ascii="宋体" w:hAnsi="宋体" w:eastAsia="宋体"/>
                <w:sz w:val="16"/>
              </w:rPr>
              <w:t>25</w:t>
            </w:r>
          </w:p>
        </w:tc>
      </w:tr>
      <w:tr w14:paraId="3BB780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FC30E7">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6A753">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0BF5E">
            <w:pPr>
              <w:jc w:val="center"/>
            </w:pPr>
            <w:r>
              <w:rPr>
                <w:rFonts w:ascii="宋体" w:hAnsi="宋体" w:eastAsia="宋体"/>
                <w:sz w:val="16"/>
              </w:rPr>
              <w:t>全民健康体检人数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C7F62">
            <w:pPr>
              <w:jc w:val="center"/>
            </w:pPr>
            <w:r>
              <w:rPr>
                <w:rFonts w:ascii="宋体" w:hAnsi="宋体" w:eastAsia="宋体"/>
                <w:sz w:val="16"/>
              </w:rPr>
              <w:t>&gt;=4327人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955E8">
            <w:pPr>
              <w:jc w:val="center"/>
            </w:pPr>
            <w:r>
              <w:rPr>
                <w:rFonts w:ascii="宋体" w:hAnsi="宋体" w:eastAsia="宋体"/>
                <w:sz w:val="16"/>
              </w:rPr>
              <w:t>吉木萨尔县总医院老台分院2023年工作总结及2024年工作计划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69D61">
            <w:pPr>
              <w:jc w:val="center"/>
            </w:pPr>
            <w:r>
              <w:rPr>
                <w:rFonts w:ascii="宋体" w:hAnsi="宋体" w:eastAsia="宋体"/>
                <w:sz w:val="16"/>
              </w:rPr>
              <w:t>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E88BD">
            <w:pPr>
              <w:jc w:val="center"/>
            </w:pPr>
            <w:r>
              <w:rPr>
                <w:rFonts w:ascii="宋体" w:hAnsi="宋体" w:eastAsia="宋体"/>
                <w:sz w:val="16"/>
              </w:rPr>
              <w:t>=4179人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E09F6">
            <w:pPr>
              <w:jc w:val="center"/>
            </w:pPr>
            <w:r>
              <w:rPr>
                <w:rFonts w:ascii="宋体" w:hAnsi="宋体" w:eastAsia="宋体"/>
                <w:sz w:val="16"/>
              </w:rPr>
              <w:t>20.28</w:t>
            </w:r>
          </w:p>
        </w:tc>
      </w:tr>
      <w:tr w14:paraId="1C636A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6CBBA">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772E8">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9AF97">
            <w:pPr>
              <w:jc w:val="center"/>
            </w:pPr>
            <w:r>
              <w:rPr>
                <w:rFonts w:ascii="宋体" w:hAnsi="宋体" w:eastAsia="宋体"/>
                <w:sz w:val="16"/>
              </w:rPr>
              <w:t>受益群体满意度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E054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4F838">
            <w:pPr>
              <w:jc w:val="center"/>
            </w:pPr>
            <w:r>
              <w:rPr>
                <w:rFonts w:ascii="宋体" w:hAnsi="宋体" w:eastAsia="宋体"/>
                <w:sz w:val="16"/>
              </w:rPr>
              <w:t>吉木萨尔县总医院老台分院2023年工作总结及2024年工作计划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9A4F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8D6F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8466A">
            <w:pPr>
              <w:jc w:val="center"/>
            </w:pPr>
            <w:r>
              <w:rPr>
                <w:rFonts w:ascii="宋体" w:hAnsi="宋体" w:eastAsia="宋体"/>
                <w:sz w:val="16"/>
              </w:rPr>
              <w:t>5</w:t>
            </w:r>
          </w:p>
        </w:tc>
      </w:tr>
    </w:tbl>
    <w:p w14:paraId="6F26E4B8">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626"/>
        <w:gridCol w:w="776"/>
        <w:gridCol w:w="776"/>
        <w:gridCol w:w="629"/>
        <w:gridCol w:w="631"/>
        <w:gridCol w:w="623"/>
        <w:gridCol w:w="623"/>
        <w:gridCol w:w="624"/>
        <w:gridCol w:w="623"/>
        <w:gridCol w:w="631"/>
      </w:tblGrid>
      <w:tr w14:paraId="51A05608">
        <w:tblPrEx>
          <w:tblCellMar>
            <w:top w:w="0" w:type="dxa"/>
            <w:left w:w="108" w:type="dxa"/>
            <w:bottom w:w="0" w:type="dxa"/>
            <w:right w:w="108" w:type="dxa"/>
          </w:tblCellMar>
        </w:tblPrEx>
        <w:tc>
          <w:tcPr>
            <w:tcW w:w="8848" w:type="dxa"/>
            <w:gridSpan w:val="14"/>
            <w:vAlign w:val="center"/>
          </w:tcPr>
          <w:p w14:paraId="3FE82091">
            <w:pPr>
              <w:jc w:val="center"/>
            </w:pPr>
            <w:r>
              <w:rPr>
                <w:rFonts w:ascii="宋体" w:hAnsi="宋体" w:eastAsia="宋体"/>
                <w:sz w:val="24"/>
              </w:rPr>
              <w:t>项目支出绩效自评表</w:t>
            </w:r>
          </w:p>
        </w:tc>
      </w:tr>
      <w:tr w14:paraId="22BBAB05">
        <w:tblPrEx>
          <w:tblCellMar>
            <w:top w:w="0" w:type="dxa"/>
            <w:left w:w="108" w:type="dxa"/>
            <w:bottom w:w="0" w:type="dxa"/>
            <w:right w:w="108" w:type="dxa"/>
          </w:tblCellMar>
        </w:tblPrEx>
        <w:tc>
          <w:tcPr>
            <w:tcW w:w="8848" w:type="dxa"/>
            <w:gridSpan w:val="14"/>
            <w:vAlign w:val="center"/>
          </w:tcPr>
          <w:p w14:paraId="50EB1A43">
            <w:pPr>
              <w:jc w:val="center"/>
            </w:pPr>
            <w:r>
              <w:rPr>
                <w:rFonts w:ascii="宋体" w:hAnsi="宋体" w:eastAsia="宋体"/>
                <w:sz w:val="24"/>
              </w:rPr>
              <w:t>(2024年度)</w:t>
            </w:r>
          </w:p>
        </w:tc>
      </w:tr>
      <w:tr w14:paraId="3AFB3B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6FFC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1B1A1B">
            <w:pPr>
              <w:jc w:val="center"/>
            </w:pPr>
            <w:r>
              <w:rPr>
                <w:rFonts w:ascii="宋体" w:hAnsi="宋体" w:eastAsia="宋体"/>
                <w:sz w:val="16"/>
              </w:rPr>
              <w:t>吉木萨尔县老台乡卫生院专项资金分配昌州财社</w:t>
            </w:r>
            <w:r>
              <w:rPr>
                <w:rFonts w:hint="eastAsia" w:ascii="宋体" w:hAnsi="宋体"/>
                <w:sz w:val="16"/>
                <w:lang w:eastAsia="zh-CN"/>
              </w:rPr>
              <w:t>〔2024〕5号</w:t>
            </w:r>
            <w:r>
              <w:rPr>
                <w:rFonts w:ascii="宋体" w:hAnsi="宋体" w:eastAsia="宋体"/>
                <w:sz w:val="16"/>
              </w:rPr>
              <w:t>-关于下达2024年自治区公共卫生服务[地方公共卫生]补助资金预算的通知</w:t>
            </w:r>
          </w:p>
        </w:tc>
      </w:tr>
      <w:tr w14:paraId="4D5D0C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2AC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35DBEC">
            <w:pPr>
              <w:jc w:val="center"/>
            </w:pPr>
            <w:r>
              <w:rPr>
                <w:rFonts w:hint="eastAsia"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C20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1714CC">
            <w:pPr>
              <w:jc w:val="center"/>
            </w:pPr>
            <w:r>
              <w:rPr>
                <w:rFonts w:ascii="宋体" w:hAnsi="宋体" w:eastAsia="宋体"/>
                <w:sz w:val="16"/>
              </w:rPr>
              <w:t>吉木萨尔县老台乡卫生院</w:t>
            </w:r>
          </w:p>
        </w:tc>
      </w:tr>
      <w:tr w14:paraId="35F51F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49324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65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27F4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D9B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050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A72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CB3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01247">
            <w:pPr>
              <w:jc w:val="center"/>
            </w:pPr>
            <w:r>
              <w:rPr>
                <w:rFonts w:ascii="宋体" w:hAnsi="宋体" w:eastAsia="宋体"/>
                <w:sz w:val="16"/>
              </w:rPr>
              <w:t>得分</w:t>
            </w:r>
          </w:p>
        </w:tc>
      </w:tr>
      <w:tr w14:paraId="62CEB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188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B6D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714CC">
            <w:pPr>
              <w:jc w:val="center"/>
            </w:pPr>
            <w:r>
              <w:rPr>
                <w:rFonts w:ascii="宋体" w:hAnsi="宋体" w:eastAsia="宋体"/>
                <w:sz w:val="16"/>
              </w:rPr>
              <w:t>30.95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3DD5F">
            <w:pPr>
              <w:jc w:val="center"/>
            </w:pPr>
            <w:r>
              <w:rPr>
                <w:rFonts w:ascii="宋体" w:hAnsi="宋体" w:eastAsia="宋体"/>
                <w:sz w:val="16"/>
              </w:rPr>
              <w:t>30.95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7A82F">
            <w:pPr>
              <w:jc w:val="center"/>
            </w:pPr>
            <w:r>
              <w:rPr>
                <w:rFonts w:ascii="宋体" w:hAnsi="宋体" w:eastAsia="宋体"/>
                <w:sz w:val="16"/>
              </w:rPr>
              <w:t>30.95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6C8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C83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85D8">
            <w:pPr>
              <w:jc w:val="center"/>
            </w:pPr>
            <w:r>
              <w:rPr>
                <w:rFonts w:ascii="宋体" w:hAnsi="宋体" w:eastAsia="宋体"/>
                <w:sz w:val="16"/>
              </w:rPr>
              <w:t>10.00</w:t>
            </w:r>
          </w:p>
        </w:tc>
      </w:tr>
      <w:tr w14:paraId="4E5D0A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8F8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9F5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E9D35">
            <w:pPr>
              <w:jc w:val="center"/>
            </w:pPr>
            <w:r>
              <w:rPr>
                <w:rFonts w:ascii="宋体" w:hAnsi="宋体" w:eastAsia="宋体"/>
                <w:sz w:val="16"/>
              </w:rPr>
              <w:t>30.95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4C9EC">
            <w:pPr>
              <w:jc w:val="center"/>
            </w:pPr>
            <w:r>
              <w:rPr>
                <w:rFonts w:ascii="宋体" w:hAnsi="宋体" w:eastAsia="宋体"/>
                <w:sz w:val="16"/>
              </w:rPr>
              <w:t>30.95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9AC6">
            <w:pPr>
              <w:jc w:val="center"/>
            </w:pPr>
            <w:r>
              <w:rPr>
                <w:rFonts w:ascii="宋体" w:hAnsi="宋体" w:eastAsia="宋体"/>
                <w:sz w:val="16"/>
              </w:rPr>
              <w:t>30.95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4FF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9E6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F778">
            <w:pPr>
              <w:jc w:val="center"/>
            </w:pPr>
            <w:r>
              <w:rPr>
                <w:rFonts w:ascii="宋体" w:hAnsi="宋体" w:eastAsia="宋体"/>
                <w:sz w:val="16"/>
              </w:rPr>
              <w:t>—</w:t>
            </w:r>
          </w:p>
        </w:tc>
      </w:tr>
      <w:tr w14:paraId="4C53C7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4D8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5FA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B6E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F3A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7BE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30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D4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7071">
            <w:pPr>
              <w:jc w:val="center"/>
            </w:pPr>
            <w:r>
              <w:rPr>
                <w:rFonts w:ascii="宋体" w:hAnsi="宋体" w:eastAsia="宋体"/>
                <w:sz w:val="16"/>
              </w:rPr>
              <w:t>—</w:t>
            </w:r>
          </w:p>
        </w:tc>
      </w:tr>
      <w:tr w14:paraId="7C7E9F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A04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87B7B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4BF19F">
            <w:pPr>
              <w:jc w:val="center"/>
            </w:pPr>
            <w:r>
              <w:rPr>
                <w:rFonts w:ascii="宋体" w:hAnsi="宋体" w:eastAsia="宋体"/>
                <w:sz w:val="16"/>
              </w:rPr>
              <w:t>实际完成情况</w:t>
            </w:r>
          </w:p>
        </w:tc>
      </w:tr>
      <w:tr w14:paraId="66658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3BA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3EDD31">
            <w:pPr>
              <w:jc w:val="both"/>
            </w:pPr>
            <w:r>
              <w:rPr>
                <w:rFonts w:ascii="宋体" w:hAnsi="宋体" w:eastAsia="宋体"/>
                <w:sz w:val="16"/>
              </w:rPr>
              <w:t>本项目主要实施内容为：免费向城乡居民开展全民健康体检工作。项目总投资30.95万元，项目计划于2025年12月31日完成。通过本项目的实施：全民健康体检受益人数大于等于4316人，体检完成率大于等于70%；健康档案使用率大于等于85%；2024年12月底前完成。待项目实施完成，争取使受益群众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F0ECA8">
            <w:pPr>
              <w:jc w:val="both"/>
            </w:pPr>
            <w:r>
              <w:rPr>
                <w:rFonts w:hint="eastAsia" w:ascii="宋体" w:hAnsi="宋体"/>
                <w:sz w:val="16"/>
                <w:lang w:eastAsia="zh-CN"/>
              </w:rPr>
              <w:t>截至2024</w:t>
            </w:r>
            <w:r>
              <w:rPr>
                <w:rFonts w:ascii="宋体" w:hAnsi="宋体" w:eastAsia="宋体"/>
                <w:sz w:val="16"/>
              </w:rPr>
              <w:t>年12月31日，本项目实际支出资金30.95万元，预算执行率100%，实际已完成全民健康体检受益人数4179人，体检完成率97.18%；健康档案使用率97.45%，使受益群众满意度达到85%。</w:t>
            </w:r>
          </w:p>
        </w:tc>
      </w:tr>
      <w:tr w14:paraId="2D7154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F1A3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C8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28D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978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996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DB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32A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C631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3047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73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D41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04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B6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9DC6">
            <w:pPr>
              <w:jc w:val="center"/>
            </w:pPr>
            <w:r>
              <w:rPr>
                <w:rFonts w:ascii="宋体" w:hAnsi="宋体" w:eastAsia="宋体"/>
                <w:sz w:val="16"/>
              </w:rPr>
              <w:t>偏差原因分析及改进措施</w:t>
            </w:r>
          </w:p>
        </w:tc>
      </w:tr>
      <w:tr w14:paraId="777DB0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7B7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38C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63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84C2">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550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F0E7">
            <w:pPr>
              <w:jc w:val="center"/>
            </w:pPr>
            <w:r>
              <w:rPr>
                <w:rFonts w:ascii="宋体" w:hAnsi="宋体" w:eastAsia="宋体"/>
                <w:sz w:val="16"/>
              </w:rPr>
              <w:t>&gt;=4316人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394F">
            <w:pPr>
              <w:jc w:val="center"/>
            </w:pPr>
            <w:r>
              <w:rPr>
                <w:rFonts w:ascii="宋体" w:hAnsi="宋体" w:eastAsia="宋体"/>
                <w:sz w:val="16"/>
              </w:rPr>
              <w:t>=4179人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67D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2F4F">
            <w:pPr>
              <w:jc w:val="center"/>
            </w:pPr>
            <w:r>
              <w:rPr>
                <w:rFonts w:ascii="宋体" w:hAnsi="宋体" w:eastAsia="宋体"/>
                <w:sz w:val="16"/>
              </w:rPr>
              <w:t>13.5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549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E5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969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3E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D7C0">
            <w:pPr>
              <w:jc w:val="center"/>
            </w:pPr>
            <w:r>
              <w:rPr>
                <w:rFonts w:ascii="宋体" w:hAnsi="宋体" w:eastAsia="宋体"/>
                <w:sz w:val="16"/>
              </w:rPr>
              <w:t>体检预计人数未达到，主要由于部分居民体检意识不强烈</w:t>
            </w:r>
          </w:p>
        </w:tc>
      </w:tr>
      <w:tr w14:paraId="25822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85D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AB9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49A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65303">
            <w:pPr>
              <w:jc w:val="center"/>
            </w:pPr>
            <w:r>
              <w:rPr>
                <w:rFonts w:ascii="宋体" w:hAnsi="宋体" w:eastAsia="宋体"/>
                <w:sz w:val="16"/>
              </w:rPr>
              <w:t>健康档案使用率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06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18C4">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0DF6">
            <w:pPr>
              <w:jc w:val="center"/>
            </w:pPr>
            <w:r>
              <w:rPr>
                <w:rFonts w:ascii="宋体" w:hAnsi="宋体" w:eastAsia="宋体"/>
                <w:sz w:val="16"/>
              </w:rPr>
              <w:t>=97.45%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A07D">
            <w:pPr>
              <w:jc w:val="center"/>
            </w:pPr>
            <w:r>
              <w:rPr>
                <w:rFonts w:ascii="宋体" w:hAnsi="宋体" w:eastAsia="宋体"/>
                <w:sz w:val="16"/>
              </w:rPr>
              <w:t>139%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10C2">
            <w:pPr>
              <w:jc w:val="center"/>
            </w:pPr>
            <w:r>
              <w:rPr>
                <w:rFonts w:ascii="宋体" w:hAnsi="宋体" w:eastAsia="宋体"/>
                <w:sz w:val="16"/>
              </w:rPr>
              <w:t>3.05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56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0E2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DD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EB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C645">
            <w:pPr>
              <w:jc w:val="center"/>
            </w:pPr>
            <w:r>
              <w:rPr>
                <w:rFonts w:ascii="宋体" w:hAnsi="宋体" w:eastAsia="宋体"/>
                <w:sz w:val="16"/>
              </w:rPr>
              <w:t>本年度完成指标超过年初预计目标</w:t>
            </w:r>
          </w:p>
        </w:tc>
      </w:tr>
      <w:tr w14:paraId="075953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0C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90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74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3A48C">
            <w:pPr>
              <w:jc w:val="center"/>
            </w:pPr>
            <w:r>
              <w:rPr>
                <w:rFonts w:ascii="宋体" w:hAnsi="宋体" w:eastAsia="宋体"/>
                <w:sz w:val="16"/>
              </w:rPr>
              <w:t>居民健康档案电子化覆盖率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BB2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05B4C">
            <w:pPr>
              <w:jc w:val="center"/>
            </w:pPr>
            <w:r>
              <w:rPr>
                <w:rFonts w:ascii="宋体" w:hAnsi="宋体" w:eastAsia="宋体"/>
                <w:sz w:val="16"/>
              </w:rPr>
              <w:t>&gt;=75%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5EA1">
            <w:pPr>
              <w:jc w:val="center"/>
            </w:pPr>
            <w:r>
              <w:rPr>
                <w:rFonts w:ascii="宋体" w:hAnsi="宋体" w:eastAsia="宋体"/>
                <w:sz w:val="16"/>
              </w:rPr>
              <w:t>=77.55%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791E">
            <w:pPr>
              <w:jc w:val="center"/>
            </w:pPr>
            <w:r>
              <w:rPr>
                <w:rFonts w:ascii="宋体" w:hAnsi="宋体" w:eastAsia="宋体"/>
                <w:sz w:val="16"/>
              </w:rPr>
              <w:t>103%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1896">
            <w:pPr>
              <w:jc w:val="center"/>
            </w:pPr>
            <w:r>
              <w:rPr>
                <w:rFonts w:ascii="宋体" w:hAnsi="宋体" w:eastAsia="宋体"/>
                <w:sz w:val="16"/>
              </w:rPr>
              <w:t>4.85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8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85B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3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08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5D54">
            <w:pPr>
              <w:jc w:val="center"/>
            </w:pPr>
            <w:r>
              <w:rPr>
                <w:rFonts w:ascii="宋体" w:hAnsi="宋体" w:eastAsia="宋体"/>
                <w:sz w:val="16"/>
              </w:rPr>
              <w:t>本年度完成指标超过年初预计目标</w:t>
            </w:r>
          </w:p>
        </w:tc>
      </w:tr>
      <w:tr w14:paraId="4C395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134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08B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D5B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5A12">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1F9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03F9">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5C843">
            <w:pPr>
              <w:jc w:val="center"/>
            </w:pPr>
            <w:r>
              <w:rPr>
                <w:rFonts w:ascii="宋体" w:hAnsi="宋体" w:eastAsia="宋体"/>
                <w:sz w:val="16"/>
              </w:rPr>
              <w:t>=97.18%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10C7">
            <w:pPr>
              <w:jc w:val="center"/>
            </w:pPr>
            <w:r>
              <w:rPr>
                <w:rFonts w:ascii="宋体" w:hAnsi="宋体" w:eastAsia="宋体"/>
                <w:sz w:val="16"/>
              </w:rPr>
              <w:t>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76303">
            <w:pPr>
              <w:jc w:val="center"/>
            </w:pPr>
            <w:r>
              <w:rPr>
                <w:rFonts w:ascii="宋体" w:hAnsi="宋体" w:eastAsia="宋体"/>
                <w:sz w:val="16"/>
              </w:rPr>
              <w:t>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01B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16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C5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B6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44E44">
            <w:pPr>
              <w:jc w:val="center"/>
            </w:pPr>
            <w:r>
              <w:rPr>
                <w:rFonts w:ascii="宋体" w:hAnsi="宋体" w:eastAsia="宋体"/>
                <w:sz w:val="16"/>
              </w:rPr>
              <w:t>本年度完成指标超过年初预计目标</w:t>
            </w:r>
          </w:p>
        </w:tc>
      </w:tr>
      <w:tr w14:paraId="7139E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A645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4BD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FE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11D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82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32011">
            <w:pPr>
              <w:jc w:val="center"/>
            </w:pPr>
            <w:r>
              <w:rPr>
                <w:rFonts w:hint="eastAsia" w:ascii="宋体" w:hAnsi="宋体"/>
                <w:sz w:val="16"/>
                <w:lang w:eastAsia="zh-CN"/>
              </w:rPr>
              <w:t>截至</w:t>
            </w: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C1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E8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CF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C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3F6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8F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9C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84AF">
            <w:pPr>
              <w:jc w:val="center"/>
            </w:pPr>
          </w:p>
        </w:tc>
      </w:tr>
      <w:tr w14:paraId="6D867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E26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DA0E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425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D0B8">
            <w:pPr>
              <w:jc w:val="center"/>
            </w:pPr>
            <w:r>
              <w:rPr>
                <w:rFonts w:ascii="宋体" w:hAnsi="宋体" w:eastAsia="宋体"/>
                <w:sz w:val="16"/>
              </w:rPr>
              <w:t>人员经费支出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F9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D35C">
            <w:pPr>
              <w:jc w:val="center"/>
            </w:pPr>
            <w:r>
              <w:rPr>
                <w:rFonts w:ascii="宋体" w:hAnsi="宋体" w:eastAsia="宋体"/>
                <w:sz w:val="16"/>
              </w:rPr>
              <w:t>&lt;=10.35万元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B920">
            <w:pPr>
              <w:jc w:val="center"/>
            </w:pPr>
            <w:r>
              <w:rPr>
                <w:rFonts w:ascii="宋体" w:hAnsi="宋体" w:eastAsia="宋体"/>
                <w:sz w:val="16"/>
              </w:rPr>
              <w:t>=10.35万元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15A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B0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94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0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54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9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9A16">
            <w:pPr>
              <w:jc w:val="center"/>
            </w:pPr>
          </w:p>
        </w:tc>
      </w:tr>
      <w:tr w14:paraId="37BA63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75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9F7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EB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D1B7">
            <w:pPr>
              <w:jc w:val="center"/>
            </w:pPr>
            <w:r>
              <w:rPr>
                <w:rFonts w:ascii="宋体" w:hAnsi="宋体" w:eastAsia="宋体"/>
                <w:sz w:val="16"/>
              </w:rPr>
              <w:t>公用经费支出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E1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2AF6C">
            <w:pPr>
              <w:jc w:val="center"/>
            </w:pPr>
            <w:r>
              <w:rPr>
                <w:rFonts w:ascii="宋体" w:hAnsi="宋体" w:eastAsia="宋体"/>
                <w:sz w:val="16"/>
              </w:rPr>
              <w:t>&lt;=20.60万元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3295D">
            <w:pPr>
              <w:jc w:val="center"/>
            </w:pPr>
            <w:r>
              <w:rPr>
                <w:rFonts w:ascii="宋体" w:hAnsi="宋体" w:eastAsia="宋体"/>
                <w:sz w:val="16"/>
              </w:rPr>
              <w:t>=20.6万元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9C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38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95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D7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F9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BC7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4488">
            <w:pPr>
              <w:jc w:val="center"/>
            </w:pPr>
          </w:p>
        </w:tc>
      </w:tr>
      <w:tr w14:paraId="3C487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DD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AB8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49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D5F4">
            <w:pPr>
              <w:jc w:val="center"/>
            </w:pPr>
            <w:r>
              <w:rPr>
                <w:rFonts w:ascii="宋体" w:hAnsi="宋体" w:eastAsia="宋体"/>
                <w:sz w:val="16"/>
              </w:rPr>
              <w:t>居民健康水平持续提高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03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3324E">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6E23">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0E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27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5BB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6C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2A4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BA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D0728">
            <w:pPr>
              <w:jc w:val="center"/>
            </w:pPr>
          </w:p>
        </w:tc>
      </w:tr>
      <w:tr w14:paraId="5958F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C9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BEF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E44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D4E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D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625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0127">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6E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38C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8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C6C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C9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F6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B335">
            <w:pPr>
              <w:jc w:val="center"/>
            </w:pPr>
          </w:p>
        </w:tc>
      </w:tr>
      <w:tr w14:paraId="73D3E9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40EA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37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A44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5EC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F6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BC508">
            <w:pPr>
              <w:jc w:val="center"/>
            </w:pPr>
            <w:r>
              <w:rPr>
                <w:rFonts w:ascii="宋体" w:hAnsi="宋体" w:eastAsia="宋体"/>
                <w:sz w:val="16"/>
              </w:rPr>
              <w:t>95.70分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DFF3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5A5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45B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EEDA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C4F90A"/>
        </w:tc>
      </w:tr>
    </w:tbl>
    <w:p w14:paraId="721E3B06">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619"/>
        <w:gridCol w:w="776"/>
        <w:gridCol w:w="776"/>
        <w:gridCol w:w="696"/>
        <w:gridCol w:w="631"/>
        <w:gridCol w:w="613"/>
        <w:gridCol w:w="613"/>
        <w:gridCol w:w="614"/>
        <w:gridCol w:w="614"/>
        <w:gridCol w:w="632"/>
      </w:tblGrid>
      <w:tr w14:paraId="3CDA4534">
        <w:tblPrEx>
          <w:tblCellMar>
            <w:top w:w="0" w:type="dxa"/>
            <w:left w:w="108" w:type="dxa"/>
            <w:bottom w:w="0" w:type="dxa"/>
            <w:right w:w="108" w:type="dxa"/>
          </w:tblCellMar>
        </w:tblPrEx>
        <w:tc>
          <w:tcPr>
            <w:tcW w:w="8848" w:type="dxa"/>
            <w:gridSpan w:val="14"/>
            <w:vAlign w:val="center"/>
          </w:tcPr>
          <w:p w14:paraId="1470AF2C">
            <w:pPr>
              <w:jc w:val="center"/>
            </w:pPr>
            <w:r>
              <w:rPr>
                <w:rFonts w:ascii="宋体" w:hAnsi="宋体" w:eastAsia="宋体"/>
                <w:sz w:val="24"/>
              </w:rPr>
              <w:t>项目支出绩效自评表</w:t>
            </w:r>
          </w:p>
        </w:tc>
      </w:tr>
      <w:tr w14:paraId="4C240C4B">
        <w:tblPrEx>
          <w:tblCellMar>
            <w:top w:w="0" w:type="dxa"/>
            <w:left w:w="108" w:type="dxa"/>
            <w:bottom w:w="0" w:type="dxa"/>
            <w:right w:w="108" w:type="dxa"/>
          </w:tblCellMar>
        </w:tblPrEx>
        <w:tc>
          <w:tcPr>
            <w:tcW w:w="8848" w:type="dxa"/>
            <w:gridSpan w:val="14"/>
            <w:vAlign w:val="center"/>
          </w:tcPr>
          <w:p w14:paraId="2B0A8D6A">
            <w:pPr>
              <w:jc w:val="center"/>
            </w:pPr>
            <w:r>
              <w:rPr>
                <w:rFonts w:ascii="宋体" w:hAnsi="宋体" w:eastAsia="宋体"/>
                <w:sz w:val="24"/>
              </w:rPr>
              <w:t>(2024年度)</w:t>
            </w:r>
          </w:p>
        </w:tc>
      </w:tr>
      <w:tr w14:paraId="3B2E9C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56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7F4CA6">
            <w:pPr>
              <w:jc w:val="center"/>
            </w:pPr>
            <w:r>
              <w:rPr>
                <w:rFonts w:ascii="宋体" w:hAnsi="宋体" w:eastAsia="宋体"/>
                <w:sz w:val="16"/>
              </w:rPr>
              <w:t>吉木萨尔县老台乡卫生院专项资金分配昌州财社</w:t>
            </w:r>
            <w:r>
              <w:rPr>
                <w:rFonts w:hint="eastAsia" w:ascii="宋体" w:hAnsi="宋体"/>
                <w:sz w:val="16"/>
                <w:lang w:eastAsia="zh-CN"/>
              </w:rPr>
              <w:t>〔2023〕80号</w:t>
            </w:r>
            <w:r>
              <w:rPr>
                <w:rFonts w:ascii="宋体" w:hAnsi="宋体" w:eastAsia="宋体"/>
                <w:sz w:val="16"/>
              </w:rPr>
              <w:t>关于2024年基本公共卫生项目资金的通知等</w:t>
            </w:r>
          </w:p>
        </w:tc>
      </w:tr>
      <w:tr w14:paraId="4A8345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3B2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49D74C">
            <w:pPr>
              <w:jc w:val="center"/>
            </w:pPr>
            <w:r>
              <w:rPr>
                <w:rFonts w:hint="eastAsia"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A49C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64A65E">
            <w:pPr>
              <w:jc w:val="center"/>
            </w:pPr>
            <w:r>
              <w:rPr>
                <w:rFonts w:ascii="宋体" w:hAnsi="宋体" w:eastAsia="宋体"/>
                <w:sz w:val="16"/>
              </w:rPr>
              <w:t>吉木萨尔县老台乡卫生院</w:t>
            </w:r>
          </w:p>
        </w:tc>
      </w:tr>
      <w:tr w14:paraId="05AC89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C4C7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8E2B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466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247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A65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BC2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4724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B823">
            <w:pPr>
              <w:jc w:val="center"/>
            </w:pPr>
            <w:r>
              <w:rPr>
                <w:rFonts w:ascii="宋体" w:hAnsi="宋体" w:eastAsia="宋体"/>
                <w:sz w:val="16"/>
              </w:rPr>
              <w:t>得分</w:t>
            </w:r>
          </w:p>
        </w:tc>
      </w:tr>
      <w:tr w14:paraId="2EFFE2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63B6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6E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A9F65">
            <w:pPr>
              <w:jc w:val="center"/>
            </w:pPr>
            <w:r>
              <w:rPr>
                <w:rFonts w:ascii="宋体" w:hAnsi="宋体" w:eastAsia="宋体"/>
                <w:sz w:val="16"/>
              </w:rPr>
              <w:t>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2A4C4">
            <w:pPr>
              <w:jc w:val="center"/>
            </w:pPr>
            <w:r>
              <w:rPr>
                <w:rFonts w:ascii="宋体" w:hAnsi="宋体" w:eastAsia="宋体"/>
                <w:sz w:val="16"/>
              </w:rPr>
              <w:t>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A8D94">
            <w:pPr>
              <w:jc w:val="center"/>
            </w:pPr>
            <w:r>
              <w:rPr>
                <w:rFonts w:ascii="宋体" w:hAnsi="宋体" w:eastAsia="宋体"/>
                <w:sz w:val="16"/>
              </w:rPr>
              <w:t>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A88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DF8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C85D">
            <w:pPr>
              <w:jc w:val="center"/>
            </w:pPr>
            <w:r>
              <w:rPr>
                <w:rFonts w:ascii="宋体" w:hAnsi="宋体" w:eastAsia="宋体"/>
                <w:sz w:val="16"/>
              </w:rPr>
              <w:t>10.00</w:t>
            </w:r>
          </w:p>
        </w:tc>
      </w:tr>
      <w:tr w14:paraId="444E51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7EA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9E2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BE306">
            <w:pPr>
              <w:jc w:val="center"/>
            </w:pPr>
            <w:r>
              <w:rPr>
                <w:rFonts w:ascii="宋体" w:hAnsi="宋体" w:eastAsia="宋体"/>
                <w:sz w:val="16"/>
              </w:rPr>
              <w:t>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D8EF8">
            <w:pPr>
              <w:jc w:val="center"/>
            </w:pPr>
            <w:r>
              <w:rPr>
                <w:rFonts w:ascii="宋体" w:hAnsi="宋体" w:eastAsia="宋体"/>
                <w:sz w:val="16"/>
              </w:rPr>
              <w:t>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9F1D4">
            <w:pPr>
              <w:jc w:val="center"/>
            </w:pPr>
            <w:r>
              <w:rPr>
                <w:rFonts w:ascii="宋体" w:hAnsi="宋体" w:eastAsia="宋体"/>
                <w:sz w:val="16"/>
              </w:rPr>
              <w:t>37.02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EEB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09B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2E40">
            <w:pPr>
              <w:jc w:val="center"/>
            </w:pPr>
            <w:r>
              <w:rPr>
                <w:rFonts w:ascii="宋体" w:hAnsi="宋体" w:eastAsia="宋体"/>
                <w:sz w:val="16"/>
              </w:rPr>
              <w:t>—</w:t>
            </w:r>
          </w:p>
        </w:tc>
      </w:tr>
      <w:tr w14:paraId="564F7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7FE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7CFC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FB5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440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0BA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76A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D7A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EF6F8">
            <w:pPr>
              <w:jc w:val="center"/>
            </w:pPr>
            <w:r>
              <w:rPr>
                <w:rFonts w:ascii="宋体" w:hAnsi="宋体" w:eastAsia="宋体"/>
                <w:sz w:val="16"/>
              </w:rPr>
              <w:t>—</w:t>
            </w:r>
          </w:p>
        </w:tc>
      </w:tr>
      <w:tr w14:paraId="1050FC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C2CB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AFA6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C2F87C">
            <w:pPr>
              <w:jc w:val="center"/>
            </w:pPr>
            <w:r>
              <w:rPr>
                <w:rFonts w:ascii="宋体" w:hAnsi="宋体" w:eastAsia="宋体"/>
                <w:sz w:val="16"/>
              </w:rPr>
              <w:t>实际完成情况</w:t>
            </w:r>
          </w:p>
        </w:tc>
      </w:tr>
      <w:tr w14:paraId="10EB6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208A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46E12">
            <w:pPr>
              <w:jc w:val="both"/>
            </w:pPr>
            <w:r>
              <w:rPr>
                <w:rFonts w:ascii="宋体" w:hAnsi="宋体" w:eastAsia="宋体"/>
                <w:sz w:val="16"/>
              </w:rPr>
              <w:t>本项目主要实施内容为：免费向城乡居民提供基本公共卫生服务，全面提升乡镇卫生院的基本公共卫生服务能力，确保各项基本公共卫生服务得到有效落实，居民健康水平得到显著提高。项目总投资37.02万元，项目计划于2024年12月31日完成。通过本项目的实施：0-36个月儿童中医药健康管理服务率大于等于70%：7岁以下儿童健康管理率大于等于90%；孕产妇系统管理率大于等于90%；居民规范化电子健康档案覆盖率大于等于61%；高血压患者基层规范管理服务率大于等于61%；本院基本药物药品品种数不少于230种。待项目实施完成，争取使患者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9AE7C2">
            <w:pPr>
              <w:jc w:val="both"/>
            </w:pPr>
            <w:r>
              <w:rPr>
                <w:rFonts w:hint="eastAsia" w:ascii="宋体" w:hAnsi="宋体"/>
                <w:sz w:val="16"/>
                <w:lang w:eastAsia="zh-CN"/>
              </w:rPr>
              <w:t>截至</w:t>
            </w:r>
            <w:r>
              <w:rPr>
                <w:rFonts w:ascii="宋体" w:hAnsi="宋体" w:eastAsia="宋体"/>
                <w:sz w:val="16"/>
              </w:rPr>
              <w:t>2024年12月31日，本项目实际支出资金37.02万元，预算执行率100%，实际已完成0-36个月儿童中医药健康管理服务率大于等于70%：7岁以下儿童健康管理率大于等于90%；孕产妇系统管理率等于90%；居民规范化电子健康档案覆盖率等于77.55%；高血压患者基层规范管理服务率等于93.92%；本院基本药物药品品种数230种，通过实施本项目，基本公共卫生服务水平不断提高；城乡居民公共卫生差距不断缩小。</w:t>
            </w:r>
          </w:p>
        </w:tc>
      </w:tr>
      <w:tr w14:paraId="71CE7E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3DB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4928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4F0D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1C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224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031B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F3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5F4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546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C1E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3D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6127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E7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F662">
            <w:pPr>
              <w:jc w:val="center"/>
            </w:pPr>
            <w:r>
              <w:rPr>
                <w:rFonts w:ascii="宋体" w:hAnsi="宋体" w:eastAsia="宋体"/>
                <w:sz w:val="16"/>
              </w:rPr>
              <w:t>偏差原因分析及改进措施</w:t>
            </w:r>
          </w:p>
        </w:tc>
      </w:tr>
      <w:tr w14:paraId="0BB9652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BC250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59CE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B88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30D1">
            <w:pPr>
              <w:jc w:val="center"/>
            </w:pPr>
            <w:r>
              <w:rPr>
                <w:rFonts w:ascii="宋体" w:hAnsi="宋体" w:eastAsia="宋体"/>
                <w:sz w:val="16"/>
              </w:rPr>
              <w:t>0-36个月儿童中医药健康管理服务率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C9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206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8373">
            <w:pPr>
              <w:jc w:val="center"/>
            </w:pPr>
            <w:r>
              <w:rPr>
                <w:rFonts w:ascii="宋体" w:hAnsi="宋体" w:eastAsia="宋体"/>
                <w:sz w:val="16"/>
              </w:rPr>
              <w:t>=98.21%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8B50">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11F3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AF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79F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B1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E33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88D51">
            <w:pPr>
              <w:jc w:val="center"/>
            </w:pPr>
            <w:r>
              <w:rPr>
                <w:rFonts w:ascii="宋体" w:hAnsi="宋体" w:eastAsia="宋体"/>
                <w:sz w:val="16"/>
              </w:rPr>
              <w:t>本年度完成指标超过年初预计目标</w:t>
            </w:r>
          </w:p>
        </w:tc>
      </w:tr>
      <w:tr w14:paraId="5A4E47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A226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F81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C8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A827A">
            <w:pPr>
              <w:jc w:val="center"/>
            </w:pPr>
            <w:r>
              <w:rPr>
                <w:rFonts w:ascii="宋体" w:hAnsi="宋体" w:eastAsia="宋体"/>
                <w:sz w:val="16"/>
              </w:rPr>
              <w:t>7岁以下儿童健康管理率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21B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685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B86D">
            <w:pPr>
              <w:jc w:val="center"/>
            </w:pPr>
            <w:r>
              <w:rPr>
                <w:rFonts w:ascii="宋体" w:hAnsi="宋体" w:eastAsia="宋体"/>
                <w:sz w:val="16"/>
              </w:rPr>
              <w:t>=73.55%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DE20C">
            <w:pPr>
              <w:jc w:val="center"/>
            </w:pPr>
            <w:r>
              <w:rPr>
                <w:rFonts w:ascii="宋体" w:hAnsi="宋体" w:eastAsia="宋体"/>
                <w:sz w:val="16"/>
              </w:rPr>
              <w:t>81.72%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B7590">
            <w:pPr>
              <w:jc w:val="center"/>
            </w:pPr>
            <w:r>
              <w:rPr>
                <w:rFonts w:ascii="宋体" w:hAnsi="宋体" w:eastAsia="宋体"/>
                <w:sz w:val="16"/>
              </w:rPr>
              <w:t>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BF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F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AC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60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E2FF">
            <w:pPr>
              <w:jc w:val="center"/>
            </w:pPr>
            <w:r>
              <w:rPr>
                <w:rFonts w:ascii="宋体" w:hAnsi="宋体" w:eastAsia="宋体"/>
                <w:sz w:val="16"/>
              </w:rPr>
              <w:t>部分儿童未在我院辖区内居住</w:t>
            </w:r>
          </w:p>
        </w:tc>
      </w:tr>
      <w:tr w14:paraId="21A50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C09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84B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BDC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5FC2">
            <w:pPr>
              <w:jc w:val="center"/>
            </w:pPr>
            <w:r>
              <w:rPr>
                <w:rFonts w:ascii="宋体" w:hAnsi="宋体" w:eastAsia="宋体"/>
                <w:sz w:val="16"/>
              </w:rPr>
              <w:t>孕产妇系统管理率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7F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16F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0CA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5A2C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5DE2">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29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95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4E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0F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8E75">
            <w:pPr>
              <w:jc w:val="center"/>
            </w:pPr>
            <w:r>
              <w:rPr>
                <w:rFonts w:ascii="宋体" w:hAnsi="宋体" w:eastAsia="宋体"/>
                <w:sz w:val="16"/>
              </w:rPr>
              <w:t>本年度完成指标超过年初预计目标</w:t>
            </w:r>
          </w:p>
        </w:tc>
      </w:tr>
      <w:tr w14:paraId="48F8AF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2C2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A8B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19EF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9736">
            <w:pPr>
              <w:jc w:val="center"/>
            </w:pPr>
            <w:r>
              <w:rPr>
                <w:rFonts w:ascii="宋体" w:hAnsi="宋体" w:eastAsia="宋体"/>
                <w:sz w:val="16"/>
              </w:rPr>
              <w:t>本院基本药物药品品种数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E1F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6685A">
            <w:pPr>
              <w:jc w:val="center"/>
            </w:pPr>
            <w:r>
              <w:rPr>
                <w:rFonts w:ascii="宋体" w:hAnsi="宋体" w:eastAsia="宋体"/>
                <w:sz w:val="16"/>
              </w:rPr>
              <w:t>&gt;=230种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D354">
            <w:pPr>
              <w:jc w:val="center"/>
            </w:pPr>
            <w:r>
              <w:rPr>
                <w:rFonts w:ascii="宋体" w:hAnsi="宋体" w:eastAsia="宋体"/>
                <w:sz w:val="16"/>
              </w:rPr>
              <w:t>=263种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2287">
            <w:pPr>
              <w:jc w:val="center"/>
            </w:pPr>
            <w:r>
              <w:rPr>
                <w:rFonts w:ascii="宋体" w:hAnsi="宋体" w:eastAsia="宋体"/>
                <w:sz w:val="16"/>
              </w:rPr>
              <w:t>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771C">
            <w:pPr>
              <w:jc w:val="center"/>
            </w:pPr>
            <w:r>
              <w:rPr>
                <w:rFonts w:ascii="宋体" w:hAnsi="宋体" w:eastAsia="宋体"/>
                <w:sz w:val="16"/>
              </w:rPr>
              <w:t>5.16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16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B0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E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66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9E3B9">
            <w:pPr>
              <w:jc w:val="center"/>
            </w:pPr>
            <w:r>
              <w:rPr>
                <w:rFonts w:ascii="宋体" w:hAnsi="宋体" w:eastAsia="宋体"/>
                <w:sz w:val="16"/>
              </w:rPr>
              <w:t>本年度完成指标超过年初预计目标</w:t>
            </w:r>
          </w:p>
        </w:tc>
      </w:tr>
      <w:tr w14:paraId="251C9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9BD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40B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E5DBF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5C05">
            <w:pPr>
              <w:jc w:val="center"/>
            </w:pPr>
            <w:r>
              <w:rPr>
                <w:rFonts w:ascii="宋体" w:hAnsi="宋体" w:eastAsia="宋体"/>
                <w:sz w:val="16"/>
              </w:rPr>
              <w:t>居民规范化电子健康档案覆盖率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44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5A43">
            <w:pPr>
              <w:jc w:val="center"/>
            </w:pPr>
            <w:r>
              <w:rPr>
                <w:rFonts w:ascii="宋体" w:hAnsi="宋体" w:eastAsia="宋体"/>
                <w:sz w:val="16"/>
              </w:rPr>
              <w:t>&gt;=61%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0EF7">
            <w:pPr>
              <w:jc w:val="center"/>
            </w:pPr>
            <w:r>
              <w:rPr>
                <w:rFonts w:ascii="宋体" w:hAnsi="宋体" w:eastAsia="宋体"/>
                <w:sz w:val="16"/>
              </w:rPr>
              <w:t>=77.55%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BB5DF">
            <w:pPr>
              <w:jc w:val="center"/>
            </w:pPr>
            <w:r>
              <w:rPr>
                <w:rFonts w:ascii="宋体" w:hAnsi="宋体" w:eastAsia="宋体"/>
                <w:sz w:val="16"/>
              </w:rPr>
              <w:t>127%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6C9E3">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01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0D9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FEE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C7A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AB55">
            <w:pPr>
              <w:jc w:val="center"/>
            </w:pPr>
            <w:r>
              <w:rPr>
                <w:rFonts w:ascii="宋体" w:hAnsi="宋体" w:eastAsia="宋体"/>
                <w:sz w:val="16"/>
              </w:rPr>
              <w:t>本年度完成指标超过年初预计目标</w:t>
            </w:r>
          </w:p>
        </w:tc>
      </w:tr>
      <w:tr w14:paraId="45B1AD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5B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009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0CAA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A8F6A">
            <w:pPr>
              <w:jc w:val="center"/>
            </w:pPr>
            <w:r>
              <w:rPr>
                <w:rFonts w:ascii="宋体" w:hAnsi="宋体" w:eastAsia="宋体"/>
                <w:sz w:val="16"/>
              </w:rPr>
              <w:t>高血压患者基层规范管理服务率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F8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1FB13">
            <w:pPr>
              <w:jc w:val="center"/>
            </w:pPr>
            <w:r>
              <w:rPr>
                <w:rFonts w:ascii="宋体" w:hAnsi="宋体" w:eastAsia="宋体"/>
                <w:sz w:val="16"/>
              </w:rPr>
              <w:t>&gt;=61%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99F5">
            <w:pPr>
              <w:jc w:val="center"/>
            </w:pPr>
            <w:r>
              <w:rPr>
                <w:rFonts w:ascii="宋体" w:hAnsi="宋体" w:eastAsia="宋体"/>
                <w:sz w:val="16"/>
              </w:rPr>
              <w:t>=93.92%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1D3F2">
            <w:pPr>
              <w:jc w:val="center"/>
            </w:pPr>
            <w:r>
              <w:rPr>
                <w:rFonts w:ascii="宋体" w:hAnsi="宋体" w:eastAsia="宋体"/>
                <w:sz w:val="16"/>
              </w:rPr>
              <w:t>154%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A469">
            <w:pPr>
              <w:jc w:val="center"/>
            </w:pPr>
            <w:r>
              <w:rPr>
                <w:rFonts w:ascii="宋体" w:hAnsi="宋体" w:eastAsia="宋体"/>
                <w:sz w:val="16"/>
              </w:rPr>
              <w:t>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FCF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8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A3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9C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AE82F">
            <w:pPr>
              <w:jc w:val="center"/>
            </w:pPr>
            <w:r>
              <w:rPr>
                <w:rFonts w:ascii="宋体" w:hAnsi="宋体" w:eastAsia="宋体"/>
                <w:sz w:val="16"/>
              </w:rPr>
              <w:t>本年度完成指标超过年初预计目标</w:t>
            </w:r>
          </w:p>
        </w:tc>
      </w:tr>
      <w:tr w14:paraId="4FDE60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56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24D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83D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49DF">
            <w:pPr>
              <w:jc w:val="center"/>
            </w:pPr>
            <w:r>
              <w:rPr>
                <w:rFonts w:ascii="宋体" w:hAnsi="宋体" w:eastAsia="宋体"/>
                <w:sz w:val="16"/>
              </w:rPr>
              <w:t>实施基本药物制度的村卫生室占比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BC9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015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6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F4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263B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54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CD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7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0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EF5F">
            <w:pPr>
              <w:jc w:val="center"/>
            </w:pPr>
          </w:p>
        </w:tc>
      </w:tr>
      <w:tr w14:paraId="36028F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C9E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59C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EB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4690">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AE67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3789">
            <w:pPr>
              <w:jc w:val="center"/>
            </w:pPr>
            <w:r>
              <w:rPr>
                <w:rFonts w:hint="eastAsia" w:ascii="宋体" w:hAnsi="宋体"/>
                <w:sz w:val="16"/>
                <w:lang w:eastAsia="zh-CN"/>
              </w:rPr>
              <w:t>截至2024</w:t>
            </w:r>
            <w:r>
              <w:rPr>
                <w:rFonts w:ascii="宋体" w:hAnsi="宋体" w:eastAsia="宋体"/>
                <w:sz w:val="16"/>
              </w:rPr>
              <w:t>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AA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6C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DD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D5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7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C2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15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3B4AC">
            <w:pPr>
              <w:jc w:val="center"/>
            </w:pPr>
          </w:p>
        </w:tc>
      </w:tr>
      <w:tr w14:paraId="6396F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8A6F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15AB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D7BA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7520">
            <w:pPr>
              <w:jc w:val="center"/>
            </w:pPr>
            <w:r>
              <w:rPr>
                <w:rFonts w:ascii="宋体" w:hAnsi="宋体" w:eastAsia="宋体"/>
                <w:sz w:val="16"/>
              </w:rPr>
              <w:t>人员经费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A5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22E0">
            <w:pPr>
              <w:jc w:val="center"/>
            </w:pPr>
            <w:r>
              <w:rPr>
                <w:rFonts w:ascii="宋体" w:hAnsi="宋体" w:eastAsia="宋体"/>
                <w:sz w:val="16"/>
              </w:rPr>
              <w:t>&lt;=13.62万元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3BDF6">
            <w:pPr>
              <w:jc w:val="center"/>
            </w:pPr>
            <w:r>
              <w:rPr>
                <w:rFonts w:ascii="宋体" w:hAnsi="宋体" w:eastAsia="宋体"/>
                <w:sz w:val="16"/>
              </w:rPr>
              <w:t>=13.62万元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477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5CA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A5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A9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24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E4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D1FC">
            <w:pPr>
              <w:jc w:val="center"/>
            </w:pPr>
          </w:p>
        </w:tc>
      </w:tr>
      <w:tr w14:paraId="0A3B1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446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618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D56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C95F">
            <w:pPr>
              <w:jc w:val="center"/>
            </w:pPr>
            <w:r>
              <w:rPr>
                <w:rFonts w:ascii="宋体" w:hAnsi="宋体" w:eastAsia="宋体"/>
                <w:sz w:val="16"/>
              </w:rPr>
              <w:t>公用经费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2AB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AF48">
            <w:pPr>
              <w:jc w:val="center"/>
            </w:pPr>
            <w:r>
              <w:rPr>
                <w:rFonts w:ascii="宋体" w:hAnsi="宋体" w:eastAsia="宋体"/>
                <w:sz w:val="16"/>
              </w:rPr>
              <w:t>&lt;=23.4万元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DE7D">
            <w:pPr>
              <w:jc w:val="center"/>
            </w:pPr>
            <w:r>
              <w:rPr>
                <w:rFonts w:ascii="宋体" w:hAnsi="宋体" w:eastAsia="宋体"/>
                <w:sz w:val="16"/>
              </w:rPr>
              <w:t>=23.4万元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A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0A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48D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144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4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3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A5C8">
            <w:pPr>
              <w:jc w:val="center"/>
            </w:pPr>
          </w:p>
        </w:tc>
      </w:tr>
      <w:tr w14:paraId="541A90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E492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2442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AC2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283D2">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4B8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7492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708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11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19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BF8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4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EBC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38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AF54">
            <w:pPr>
              <w:jc w:val="center"/>
            </w:pPr>
          </w:p>
        </w:tc>
      </w:tr>
      <w:tr w14:paraId="60DFF0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32B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413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25E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F658">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B26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DB7A">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0198">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1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11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415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B6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1B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9EE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6353">
            <w:pPr>
              <w:jc w:val="center"/>
            </w:pPr>
          </w:p>
        </w:tc>
      </w:tr>
      <w:tr w14:paraId="6EC28D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13E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F3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CA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2F00">
            <w:pPr>
              <w:jc w:val="center"/>
            </w:pPr>
            <w:r>
              <w:rPr>
                <w:rFonts w:ascii="宋体" w:hAnsi="宋体" w:eastAsia="宋体"/>
                <w:sz w:val="16"/>
              </w:rPr>
              <w:t>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CB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B5AB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7295">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7BD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31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B7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FC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00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939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0B9A">
            <w:pPr>
              <w:jc w:val="center"/>
            </w:pPr>
          </w:p>
        </w:tc>
      </w:tr>
      <w:tr w14:paraId="075B850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15E4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B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638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7254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4FD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FB0B">
            <w:pPr>
              <w:jc w:val="center"/>
            </w:pPr>
            <w:r>
              <w:rPr>
                <w:rFonts w:ascii="宋体" w:hAnsi="宋体" w:eastAsia="宋体"/>
                <w:sz w:val="16"/>
              </w:rPr>
              <w:t>90.27分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F8CA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2A7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2B5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8269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AFF9AB"/>
        </w:tc>
      </w:tr>
    </w:tbl>
    <w:p w14:paraId="36BDDCB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836B447">
        <w:tblPrEx>
          <w:tblCellMar>
            <w:top w:w="0" w:type="dxa"/>
            <w:left w:w="108" w:type="dxa"/>
            <w:bottom w:w="0" w:type="dxa"/>
            <w:right w:w="108" w:type="dxa"/>
          </w:tblCellMar>
        </w:tblPrEx>
        <w:tc>
          <w:tcPr>
            <w:tcW w:w="8848" w:type="dxa"/>
            <w:gridSpan w:val="14"/>
            <w:vAlign w:val="center"/>
          </w:tcPr>
          <w:p w14:paraId="1CBFFFC9">
            <w:pPr>
              <w:jc w:val="center"/>
            </w:pPr>
            <w:r>
              <w:rPr>
                <w:rFonts w:ascii="宋体" w:hAnsi="宋体" w:eastAsia="宋体"/>
                <w:sz w:val="24"/>
              </w:rPr>
              <w:t>项目支出绩效自评表</w:t>
            </w:r>
          </w:p>
        </w:tc>
      </w:tr>
      <w:tr w14:paraId="7C7505AF">
        <w:tblPrEx>
          <w:tblCellMar>
            <w:top w:w="0" w:type="dxa"/>
            <w:left w:w="108" w:type="dxa"/>
            <w:bottom w:w="0" w:type="dxa"/>
            <w:right w:w="108" w:type="dxa"/>
          </w:tblCellMar>
        </w:tblPrEx>
        <w:tc>
          <w:tcPr>
            <w:tcW w:w="8848" w:type="dxa"/>
            <w:gridSpan w:val="14"/>
            <w:vAlign w:val="center"/>
          </w:tcPr>
          <w:p w14:paraId="1873578A">
            <w:pPr>
              <w:jc w:val="center"/>
            </w:pPr>
            <w:r>
              <w:rPr>
                <w:rFonts w:ascii="宋体" w:hAnsi="宋体" w:eastAsia="宋体"/>
                <w:sz w:val="24"/>
              </w:rPr>
              <w:t>(2024年度)</w:t>
            </w:r>
          </w:p>
        </w:tc>
      </w:tr>
      <w:tr w14:paraId="37EEF4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8B2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CF7A76">
            <w:pPr>
              <w:jc w:val="center"/>
            </w:pPr>
            <w:r>
              <w:rPr>
                <w:rFonts w:ascii="宋体" w:hAnsi="宋体" w:eastAsia="宋体"/>
                <w:sz w:val="16"/>
              </w:rPr>
              <w:t>吉木萨尔县老台乡卫生院专项资金分配昌州财社</w:t>
            </w:r>
            <w:r>
              <w:rPr>
                <w:rFonts w:hint="eastAsia" w:ascii="宋体" w:hAnsi="宋体"/>
                <w:sz w:val="16"/>
                <w:lang w:eastAsia="zh-CN"/>
              </w:rPr>
              <w:t>〔2023〕82号</w:t>
            </w:r>
            <w:r>
              <w:rPr>
                <w:rFonts w:ascii="宋体" w:hAnsi="宋体" w:eastAsia="宋体"/>
                <w:sz w:val="16"/>
              </w:rPr>
              <w:t>关于2024年自治区医疗服务与保障能力提升（卫生健康人才培养）补助资金的通知</w:t>
            </w:r>
          </w:p>
        </w:tc>
      </w:tr>
      <w:tr w14:paraId="479E893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124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65233A">
            <w:pPr>
              <w:jc w:val="center"/>
            </w:pPr>
            <w:r>
              <w:rPr>
                <w:rFonts w:hint="eastAsia"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07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DD496A">
            <w:pPr>
              <w:jc w:val="center"/>
            </w:pPr>
            <w:r>
              <w:rPr>
                <w:rFonts w:ascii="宋体" w:hAnsi="宋体" w:eastAsia="宋体"/>
                <w:sz w:val="16"/>
              </w:rPr>
              <w:t>吉木萨尔县老台乡卫生院</w:t>
            </w:r>
          </w:p>
        </w:tc>
      </w:tr>
      <w:tr w14:paraId="76E69A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4A4A4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19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673B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65C3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8A3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52D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59B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6748D">
            <w:pPr>
              <w:jc w:val="center"/>
            </w:pPr>
            <w:r>
              <w:rPr>
                <w:rFonts w:ascii="宋体" w:hAnsi="宋体" w:eastAsia="宋体"/>
                <w:sz w:val="16"/>
              </w:rPr>
              <w:t>得分</w:t>
            </w:r>
          </w:p>
        </w:tc>
      </w:tr>
      <w:tr w14:paraId="2DC34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7D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E68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DC624">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9F2AE">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1FD54">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4CD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EE6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D462">
            <w:pPr>
              <w:jc w:val="center"/>
            </w:pPr>
            <w:r>
              <w:rPr>
                <w:rFonts w:ascii="宋体" w:hAnsi="宋体" w:eastAsia="宋体"/>
                <w:sz w:val="16"/>
              </w:rPr>
              <w:t>10.00</w:t>
            </w:r>
          </w:p>
        </w:tc>
      </w:tr>
      <w:tr w14:paraId="528CB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352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02AFE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1C7DA">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63307">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116BD">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E03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1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CCE8">
            <w:pPr>
              <w:jc w:val="center"/>
            </w:pPr>
            <w:r>
              <w:rPr>
                <w:rFonts w:ascii="宋体" w:hAnsi="宋体" w:eastAsia="宋体"/>
                <w:sz w:val="16"/>
              </w:rPr>
              <w:t>—</w:t>
            </w:r>
          </w:p>
        </w:tc>
      </w:tr>
      <w:tr w14:paraId="062E35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66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BDC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8E6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8D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7DE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841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B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90C21">
            <w:pPr>
              <w:jc w:val="center"/>
            </w:pPr>
            <w:r>
              <w:rPr>
                <w:rFonts w:ascii="宋体" w:hAnsi="宋体" w:eastAsia="宋体"/>
                <w:sz w:val="16"/>
              </w:rPr>
              <w:t>—</w:t>
            </w:r>
          </w:p>
        </w:tc>
      </w:tr>
      <w:tr w14:paraId="45F7B3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040D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D233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E6D70B">
            <w:pPr>
              <w:jc w:val="center"/>
            </w:pPr>
            <w:r>
              <w:rPr>
                <w:rFonts w:ascii="宋体" w:hAnsi="宋体" w:eastAsia="宋体"/>
                <w:sz w:val="16"/>
              </w:rPr>
              <w:t>实际完成情况</w:t>
            </w:r>
          </w:p>
        </w:tc>
      </w:tr>
      <w:tr w14:paraId="3388A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C3CA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2D74C">
            <w:pPr>
              <w:jc w:val="both"/>
            </w:pPr>
            <w:r>
              <w:rPr>
                <w:rFonts w:ascii="宋体" w:hAnsi="宋体" w:eastAsia="宋体"/>
                <w:sz w:val="16"/>
              </w:rPr>
              <w:t>本项目主要实施内容为：医疗机构服务与保障能力提升及医疗机构人才培养。乡镇卫生院利用该笔资金对卫生院及卫生室相关人员人才培养能力进一步提高。项目总投资5.38万元，项目计划于2024年12月31日完成。通过本项目的实施：村医人数大于等于10人，助理医师人数大于等于3人，工资发放及时率等于100%，资金拨付及时率等于100%，乡村医生医疗能力提升有效提升。待项目实施完成，争取使村医满意度大于等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6FEA99">
            <w:pPr>
              <w:jc w:val="both"/>
            </w:pPr>
            <w:r>
              <w:rPr>
                <w:rFonts w:hint="eastAsia" w:ascii="宋体" w:hAnsi="宋体"/>
                <w:sz w:val="16"/>
                <w:lang w:eastAsia="zh-CN"/>
              </w:rPr>
              <w:t>截至2024</w:t>
            </w:r>
            <w:r>
              <w:rPr>
                <w:rFonts w:ascii="宋体" w:hAnsi="宋体" w:eastAsia="宋体"/>
                <w:sz w:val="16"/>
              </w:rPr>
              <w:t>年12月31日，本项目实际支出资金5.38万元，预算执行率100%，实际已完成村医人数等于10人，助理医师人数3人，工资发放及时率100%，资金拨付及时率100%，通过实施本项目乡村医生医疗能力提升较上一年有效提升。使村医满意度达到98%。</w:t>
            </w:r>
          </w:p>
        </w:tc>
      </w:tr>
      <w:tr w14:paraId="598B84D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2ED5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009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C8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3EE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7A79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518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CFB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C68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00DC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BD8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1A6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F3A2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8A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CFAD">
            <w:pPr>
              <w:jc w:val="center"/>
            </w:pPr>
            <w:r>
              <w:rPr>
                <w:rFonts w:ascii="宋体" w:hAnsi="宋体" w:eastAsia="宋体"/>
                <w:sz w:val="16"/>
              </w:rPr>
              <w:t>偏差原因分析及改进措施</w:t>
            </w:r>
          </w:p>
        </w:tc>
      </w:tr>
      <w:tr w14:paraId="59DE59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F7D9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7DAC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DA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651D2">
            <w:pPr>
              <w:jc w:val="center"/>
            </w:pPr>
            <w:r>
              <w:rPr>
                <w:rFonts w:ascii="宋体" w:hAnsi="宋体" w:eastAsia="宋体"/>
                <w:sz w:val="16"/>
              </w:rPr>
              <w:t>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EF4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712BD">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3C26">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298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B4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709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C1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24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8A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DE8D">
            <w:pPr>
              <w:jc w:val="center"/>
            </w:pPr>
          </w:p>
        </w:tc>
      </w:tr>
      <w:tr w14:paraId="0F43B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FDD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813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9B5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CE05">
            <w:pPr>
              <w:jc w:val="center"/>
            </w:pPr>
            <w:r>
              <w:rPr>
                <w:rFonts w:ascii="宋体" w:hAnsi="宋体" w:eastAsia="宋体"/>
                <w:sz w:val="16"/>
              </w:rPr>
              <w:t>村卫生室助理医师人数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E2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547C">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63A1C">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D5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510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9F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DF4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21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63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26E6">
            <w:pPr>
              <w:jc w:val="center"/>
            </w:pPr>
          </w:p>
        </w:tc>
      </w:tr>
      <w:tr w14:paraId="7E0F9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71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D8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66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C7BE0">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1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F1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B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6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31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6D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66B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15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B7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BC33">
            <w:pPr>
              <w:jc w:val="center"/>
            </w:pPr>
          </w:p>
        </w:tc>
      </w:tr>
      <w:tr w14:paraId="2FA81C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D7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BD8E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4D67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DDB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6C9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A877">
            <w:pPr>
              <w:jc w:val="center"/>
            </w:pPr>
            <w:r>
              <w:rPr>
                <w:rFonts w:hint="eastAsia" w:ascii="宋体" w:hAnsi="宋体"/>
                <w:sz w:val="16"/>
                <w:lang w:eastAsia="zh-CN"/>
              </w:rPr>
              <w:t>截至2024</w:t>
            </w:r>
            <w:r>
              <w:rPr>
                <w:rFonts w:ascii="宋体" w:hAnsi="宋体" w:eastAsia="宋体"/>
                <w:sz w:val="16"/>
              </w:rPr>
              <w:t>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A8F3D">
            <w:pPr>
              <w:jc w:val="center"/>
            </w:pPr>
            <w:r>
              <w:rPr>
                <w:rFonts w:hint="eastAsia" w:ascii="宋体" w:hAnsi="宋体"/>
                <w:sz w:val="16"/>
                <w:lang w:eastAsia="zh-CN"/>
              </w:rPr>
              <w:t>截至2024</w:t>
            </w:r>
            <w:r>
              <w:rPr>
                <w:rFonts w:ascii="宋体" w:hAnsi="宋体" w:eastAsia="宋体"/>
                <w:sz w:val="16"/>
              </w:rPr>
              <w:t>年12月10日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4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C3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E1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3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99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5CC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EF86">
            <w:pPr>
              <w:jc w:val="center"/>
            </w:pPr>
          </w:p>
        </w:tc>
      </w:tr>
      <w:tr w14:paraId="78A07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5B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1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B08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3D85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62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A9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B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0C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8D6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3D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A15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EF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01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F40C">
            <w:pPr>
              <w:jc w:val="center"/>
            </w:pPr>
          </w:p>
        </w:tc>
      </w:tr>
      <w:tr w14:paraId="00D55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B1A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D23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763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2D6C">
            <w:pPr>
              <w:jc w:val="center"/>
            </w:pPr>
            <w:r>
              <w:rPr>
                <w:rFonts w:ascii="宋体" w:hAnsi="宋体" w:eastAsia="宋体"/>
                <w:sz w:val="16"/>
              </w:rPr>
              <w:t>自治区村医工资补助资金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418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6DD6">
            <w:pPr>
              <w:jc w:val="center"/>
            </w:pPr>
            <w:r>
              <w:rPr>
                <w:rFonts w:ascii="宋体" w:hAnsi="宋体" w:eastAsia="宋体"/>
                <w:sz w:val="16"/>
              </w:rPr>
              <w:t>&lt;=5.38万元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A23C2">
            <w:pPr>
              <w:jc w:val="center"/>
            </w:pPr>
            <w:r>
              <w:rPr>
                <w:rFonts w:ascii="宋体" w:hAnsi="宋体" w:eastAsia="宋体"/>
                <w:sz w:val="16"/>
              </w:rPr>
              <w:t>=5.38万元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E6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04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7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6F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9C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F8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9581F">
            <w:pPr>
              <w:jc w:val="center"/>
            </w:pPr>
          </w:p>
        </w:tc>
      </w:tr>
      <w:tr w14:paraId="14B33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DEE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A047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5CC3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035D">
            <w:pPr>
              <w:jc w:val="center"/>
            </w:pPr>
            <w:r>
              <w:rPr>
                <w:rFonts w:ascii="宋体" w:hAnsi="宋体" w:eastAsia="宋体"/>
                <w:sz w:val="16"/>
              </w:rPr>
              <w:t>乡村医生医疗能力提升有效提升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F3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B9CB">
            <w:pPr>
              <w:jc w:val="center"/>
            </w:pPr>
            <w:r>
              <w:rPr>
                <w:rFonts w:ascii="宋体" w:hAnsi="宋体" w:eastAsia="宋体"/>
                <w:sz w:val="16"/>
              </w:rPr>
              <w:t>较上一年提高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EE4E">
            <w:pPr>
              <w:jc w:val="center"/>
            </w:pPr>
            <w:r>
              <w:rPr>
                <w:rFonts w:ascii="宋体" w:hAnsi="宋体" w:eastAsia="宋体"/>
                <w:sz w:val="16"/>
              </w:rPr>
              <w:t>较上一年度提高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54B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C2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FF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35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6BF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3A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BDC3">
            <w:pPr>
              <w:jc w:val="center"/>
            </w:pPr>
          </w:p>
        </w:tc>
      </w:tr>
      <w:tr w14:paraId="1FF83D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620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2EF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4E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E539">
            <w:pPr>
              <w:jc w:val="center"/>
            </w:pPr>
            <w:r>
              <w:rPr>
                <w:rFonts w:ascii="宋体" w:hAnsi="宋体" w:eastAsia="宋体"/>
                <w:sz w:val="16"/>
              </w:rPr>
              <w:t>村医满意度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2D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3A1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6F04">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F7B4B">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A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C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9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B02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6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A390">
            <w:pPr>
              <w:jc w:val="center"/>
            </w:pPr>
            <w:r>
              <w:rPr>
                <w:rFonts w:ascii="宋体" w:hAnsi="宋体" w:eastAsia="宋体"/>
                <w:sz w:val="16"/>
              </w:rPr>
              <w:t>主要原因为通过调研问卷，及时发放村医补助，使得满意度达到98%。</w:t>
            </w:r>
          </w:p>
        </w:tc>
      </w:tr>
      <w:tr w14:paraId="3232E13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CF129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ECF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B70B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FF95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9BA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F4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16CF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3F4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8B5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7D01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7B441"/>
        </w:tc>
      </w:tr>
    </w:tbl>
    <w:p w14:paraId="1446351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F8E7BB2">
        <w:tblPrEx>
          <w:tblCellMar>
            <w:top w:w="0" w:type="dxa"/>
            <w:left w:w="108" w:type="dxa"/>
            <w:bottom w:w="0" w:type="dxa"/>
            <w:right w:w="108" w:type="dxa"/>
          </w:tblCellMar>
        </w:tblPrEx>
        <w:tc>
          <w:tcPr>
            <w:tcW w:w="8848" w:type="dxa"/>
            <w:gridSpan w:val="14"/>
            <w:vAlign w:val="center"/>
          </w:tcPr>
          <w:p w14:paraId="0C3BD998">
            <w:pPr>
              <w:jc w:val="center"/>
            </w:pPr>
            <w:r>
              <w:rPr>
                <w:rFonts w:ascii="宋体" w:hAnsi="宋体" w:eastAsia="宋体"/>
                <w:sz w:val="24"/>
              </w:rPr>
              <w:t>项目支出绩效自评表</w:t>
            </w:r>
          </w:p>
        </w:tc>
      </w:tr>
      <w:tr w14:paraId="43CE18A4">
        <w:tblPrEx>
          <w:tblCellMar>
            <w:top w:w="0" w:type="dxa"/>
            <w:left w:w="108" w:type="dxa"/>
            <w:bottom w:w="0" w:type="dxa"/>
            <w:right w:w="108" w:type="dxa"/>
          </w:tblCellMar>
        </w:tblPrEx>
        <w:tc>
          <w:tcPr>
            <w:tcW w:w="8848" w:type="dxa"/>
            <w:gridSpan w:val="14"/>
            <w:vAlign w:val="center"/>
          </w:tcPr>
          <w:p w14:paraId="5CAF3E60">
            <w:pPr>
              <w:jc w:val="center"/>
            </w:pPr>
            <w:r>
              <w:rPr>
                <w:rFonts w:ascii="宋体" w:hAnsi="宋体" w:eastAsia="宋体"/>
                <w:sz w:val="24"/>
              </w:rPr>
              <w:t>(2024年度)</w:t>
            </w:r>
          </w:p>
        </w:tc>
      </w:tr>
      <w:tr w14:paraId="0CA94C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07F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C851AB4">
            <w:pPr>
              <w:jc w:val="center"/>
            </w:pPr>
            <w:r>
              <w:rPr>
                <w:rFonts w:ascii="宋体" w:hAnsi="宋体" w:eastAsia="宋体"/>
                <w:sz w:val="16"/>
              </w:rPr>
              <w:t>吉木萨尔县老台乡卫生院专项资金分配昌州财综</w:t>
            </w:r>
            <w:r>
              <w:rPr>
                <w:rFonts w:hint="eastAsia" w:ascii="宋体" w:hAnsi="宋体"/>
                <w:sz w:val="16"/>
                <w:lang w:eastAsia="zh-CN"/>
              </w:rPr>
              <w:t>〔2023〕16号</w:t>
            </w:r>
            <w:r>
              <w:rPr>
                <w:rFonts w:ascii="宋体" w:hAnsi="宋体" w:eastAsia="宋体"/>
                <w:sz w:val="16"/>
              </w:rPr>
              <w:t>吉木萨尔县失能老人健康评估资金</w:t>
            </w:r>
          </w:p>
        </w:tc>
      </w:tr>
      <w:tr w14:paraId="0CF4F8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C1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BC67A">
            <w:pPr>
              <w:jc w:val="center"/>
            </w:pPr>
            <w:r>
              <w:rPr>
                <w:rFonts w:hint="eastAsia"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EA7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6F8C3B">
            <w:pPr>
              <w:jc w:val="center"/>
            </w:pPr>
            <w:r>
              <w:rPr>
                <w:rFonts w:ascii="宋体" w:hAnsi="宋体" w:eastAsia="宋体"/>
                <w:sz w:val="16"/>
              </w:rPr>
              <w:t>吉木萨尔县老台乡卫生院</w:t>
            </w:r>
          </w:p>
        </w:tc>
      </w:tr>
      <w:tr w14:paraId="402174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8444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DBD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CBD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55F3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4B57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ECE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A6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60715">
            <w:pPr>
              <w:jc w:val="center"/>
            </w:pPr>
            <w:r>
              <w:rPr>
                <w:rFonts w:ascii="宋体" w:hAnsi="宋体" w:eastAsia="宋体"/>
                <w:sz w:val="16"/>
              </w:rPr>
              <w:t>得分</w:t>
            </w:r>
          </w:p>
        </w:tc>
      </w:tr>
      <w:tr w14:paraId="1BA29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6E7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8D2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ABD98">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ACE6">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C96A3A">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0C2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3A35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C2A95">
            <w:pPr>
              <w:jc w:val="center"/>
            </w:pPr>
            <w:r>
              <w:rPr>
                <w:rFonts w:ascii="宋体" w:hAnsi="宋体" w:eastAsia="宋体"/>
                <w:sz w:val="16"/>
              </w:rPr>
              <w:t>10.00</w:t>
            </w:r>
          </w:p>
        </w:tc>
      </w:tr>
      <w:tr w14:paraId="4FACA9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54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188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4B37E">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0BDDF">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27EE">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C329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26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97C8">
            <w:pPr>
              <w:jc w:val="center"/>
            </w:pPr>
            <w:r>
              <w:rPr>
                <w:rFonts w:ascii="宋体" w:hAnsi="宋体" w:eastAsia="宋体"/>
                <w:sz w:val="16"/>
              </w:rPr>
              <w:t>—</w:t>
            </w:r>
          </w:p>
        </w:tc>
      </w:tr>
      <w:tr w14:paraId="613520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C60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E68A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88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C3B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D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7C4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BCD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B831">
            <w:pPr>
              <w:jc w:val="center"/>
            </w:pPr>
            <w:r>
              <w:rPr>
                <w:rFonts w:ascii="宋体" w:hAnsi="宋体" w:eastAsia="宋体"/>
                <w:sz w:val="16"/>
              </w:rPr>
              <w:t>—</w:t>
            </w:r>
          </w:p>
        </w:tc>
      </w:tr>
      <w:tr w14:paraId="07BD1F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C65E2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37C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E2A4CE">
            <w:pPr>
              <w:jc w:val="center"/>
            </w:pPr>
            <w:r>
              <w:rPr>
                <w:rFonts w:ascii="宋体" w:hAnsi="宋体" w:eastAsia="宋体"/>
                <w:sz w:val="16"/>
              </w:rPr>
              <w:t>实际完成情况</w:t>
            </w:r>
          </w:p>
        </w:tc>
      </w:tr>
      <w:tr w14:paraId="6D5B2E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21D4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F2D07E">
            <w:pPr>
              <w:jc w:val="both"/>
            </w:pPr>
            <w:r>
              <w:rPr>
                <w:rFonts w:ascii="宋体" w:hAnsi="宋体" w:eastAsia="宋体"/>
                <w:sz w:val="16"/>
              </w:rPr>
              <w:t>本项目主要实施内容为：进一步筛选出失能老人，根据老年人的情况做出切实判断，提高老年人健康水平，加强慢性病防控能力建设患者筛查登记和随访管理。项目总投资4.38万元，项目计划于2024年12月31日完成。通过本项目的实施：65岁及以上居家失能老年人开展健康评估、健康服务完成人数大于等于190人，开展新闻媒体宣传大于等于1次，项目完成率大于等于95%，待项目实施完成，争取使65岁及以上居家老年人服务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13D08">
            <w:pPr>
              <w:jc w:val="both"/>
            </w:pPr>
            <w:r>
              <w:rPr>
                <w:rFonts w:hint="eastAsia" w:ascii="宋体" w:hAnsi="宋体"/>
                <w:sz w:val="16"/>
                <w:lang w:eastAsia="zh-CN"/>
              </w:rPr>
              <w:t>截至</w:t>
            </w:r>
            <w:r>
              <w:rPr>
                <w:rFonts w:ascii="宋体" w:hAnsi="宋体" w:eastAsia="宋体"/>
                <w:sz w:val="16"/>
              </w:rPr>
              <w:t>2024年12月31日，本项目实际支出资金4.38万元，预算执行率100%，实际已完成65岁及以上居家失能老年人开展健康评估、健康服务190人，开展新闻媒体宣传1次，项目完成率为100%，通过实施本项目，进一步筛选出失能老人，根据老年人的情况做出切实判断，提高老年人健康水平，加强慢性病防控能力建设患者筛查登记和随访管理。</w:t>
            </w:r>
          </w:p>
        </w:tc>
      </w:tr>
      <w:tr w14:paraId="1BDEF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E022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5F65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20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3C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C74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E5629">
            <w:pPr>
              <w:jc w:val="center"/>
            </w:pPr>
            <w:r>
              <w:rPr>
                <w:rFonts w:ascii="宋体" w:hAnsi="宋体" w:eastAsia="宋体"/>
                <w:sz w:val="16"/>
              </w:rPr>
              <w:t>目标</w:t>
            </w:r>
            <w:bookmarkStart w:id="0" w:name="_GoBack"/>
            <w:bookmarkEnd w:id="0"/>
            <w:r>
              <w:rPr>
                <w:rFonts w:ascii="宋体" w:hAnsi="宋体" w:eastAsia="宋体"/>
                <w:sz w:val="16"/>
              </w:rPr>
              <w:t>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FF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6DA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156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DB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49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E1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105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D420">
            <w:pPr>
              <w:jc w:val="center"/>
            </w:pPr>
            <w:r>
              <w:rPr>
                <w:rFonts w:ascii="宋体" w:hAnsi="宋体" w:eastAsia="宋体"/>
                <w:sz w:val="16"/>
              </w:rPr>
              <w:t>偏差原因分析及改进措施</w:t>
            </w:r>
          </w:p>
        </w:tc>
      </w:tr>
      <w:tr w14:paraId="1D73DA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87A73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A00D6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30B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7958">
            <w:pPr>
              <w:jc w:val="center"/>
            </w:pPr>
            <w:r>
              <w:rPr>
                <w:rFonts w:ascii="宋体" w:hAnsi="宋体" w:eastAsia="宋体"/>
                <w:sz w:val="16"/>
              </w:rPr>
              <w:t>65岁及以上居家失能老年人开展健康评估完成人数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3D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15FE">
            <w:pPr>
              <w:jc w:val="center"/>
            </w:pPr>
            <w:r>
              <w:rPr>
                <w:rFonts w:ascii="宋体" w:hAnsi="宋体" w:eastAsia="宋体"/>
                <w:sz w:val="16"/>
              </w:rPr>
              <w:t>&gt;=190人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C19E">
            <w:pPr>
              <w:jc w:val="center"/>
            </w:pPr>
            <w:r>
              <w:rPr>
                <w:rFonts w:ascii="宋体" w:hAnsi="宋体" w:eastAsia="宋体"/>
                <w:sz w:val="16"/>
              </w:rPr>
              <w:t>=190人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F8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5B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27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60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5A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AE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5FC51">
            <w:pPr>
              <w:jc w:val="center"/>
            </w:pPr>
          </w:p>
        </w:tc>
      </w:tr>
      <w:tr w14:paraId="66DB9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D4A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ED0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7A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587E">
            <w:pPr>
              <w:jc w:val="center"/>
            </w:pPr>
            <w:r>
              <w:rPr>
                <w:rFonts w:ascii="宋体" w:hAnsi="宋体" w:eastAsia="宋体"/>
                <w:sz w:val="16"/>
              </w:rPr>
              <w:t>开展新闻媒体宣传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6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5274">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CE36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031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22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84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1A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78C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2C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E11B">
            <w:pPr>
              <w:jc w:val="center"/>
            </w:pPr>
          </w:p>
        </w:tc>
      </w:tr>
      <w:tr w14:paraId="099091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A94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CD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EFC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CA994">
            <w:pPr>
              <w:jc w:val="center"/>
            </w:pPr>
            <w:r>
              <w:rPr>
                <w:rFonts w:ascii="宋体" w:hAnsi="宋体" w:eastAsia="宋体"/>
                <w:sz w:val="16"/>
              </w:rPr>
              <w:t>项目完成率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EC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AC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C7B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70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62C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98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BD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F3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209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E1C6A">
            <w:pPr>
              <w:jc w:val="center"/>
            </w:pPr>
          </w:p>
        </w:tc>
      </w:tr>
      <w:tr w14:paraId="231E0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BA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C5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AA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20E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59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A1B0">
            <w:pPr>
              <w:jc w:val="center"/>
            </w:pPr>
            <w:r>
              <w:rPr>
                <w:rFonts w:hint="eastAsia" w:ascii="宋体" w:hAnsi="宋体"/>
                <w:sz w:val="16"/>
                <w:lang w:eastAsia="zh-CN"/>
              </w:rPr>
              <w:t>截至</w:t>
            </w: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E88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12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A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C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98C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CB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34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B83F">
            <w:pPr>
              <w:jc w:val="center"/>
            </w:pPr>
          </w:p>
        </w:tc>
      </w:tr>
      <w:tr w14:paraId="1F1AE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DEC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510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444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7DAC">
            <w:pPr>
              <w:jc w:val="center"/>
            </w:pPr>
            <w:r>
              <w:rPr>
                <w:rFonts w:ascii="宋体" w:hAnsi="宋体" w:eastAsia="宋体"/>
                <w:sz w:val="16"/>
              </w:rPr>
              <w:t>失能老人人均专项经费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C7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1B22F">
            <w:pPr>
              <w:jc w:val="center"/>
            </w:pPr>
            <w:r>
              <w:rPr>
                <w:rFonts w:ascii="宋体" w:hAnsi="宋体" w:eastAsia="宋体"/>
                <w:sz w:val="16"/>
              </w:rPr>
              <w:t>&lt;=0.02万元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BB7C">
            <w:pPr>
              <w:jc w:val="center"/>
            </w:pPr>
            <w:r>
              <w:rPr>
                <w:rFonts w:ascii="宋体" w:hAnsi="宋体" w:eastAsia="宋体"/>
                <w:sz w:val="16"/>
              </w:rPr>
              <w:t>=0.02万元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3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DD9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AC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C0A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5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99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303B0">
            <w:pPr>
              <w:jc w:val="center"/>
            </w:pPr>
          </w:p>
        </w:tc>
      </w:tr>
      <w:tr w14:paraId="56612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8B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3BA4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FD7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69AF">
            <w:pPr>
              <w:jc w:val="center"/>
            </w:pPr>
            <w:r>
              <w:rPr>
                <w:rFonts w:ascii="宋体" w:hAnsi="宋体" w:eastAsia="宋体"/>
                <w:sz w:val="16"/>
              </w:rPr>
              <w:t>老年人生活质量和健康水平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20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8987">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F408">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F3E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39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54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E1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AE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FE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8E2E">
            <w:pPr>
              <w:jc w:val="center"/>
            </w:pPr>
          </w:p>
        </w:tc>
      </w:tr>
      <w:tr w14:paraId="53206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E04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720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1F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8480">
            <w:pPr>
              <w:jc w:val="center"/>
            </w:pPr>
            <w:r>
              <w:rPr>
                <w:rFonts w:ascii="宋体" w:hAnsi="宋体" w:eastAsia="宋体"/>
                <w:sz w:val="16"/>
              </w:rPr>
              <w:t>65岁及以上居家老年人服务满意度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A9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58CA">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8F14F">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1D2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C33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60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DF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674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1D1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9921">
            <w:pPr>
              <w:jc w:val="center"/>
            </w:pPr>
            <w:r>
              <w:rPr>
                <w:rFonts w:ascii="宋体" w:hAnsi="宋体" w:eastAsia="宋体"/>
                <w:sz w:val="16"/>
              </w:rPr>
              <w:t>本年度完成指标超过年初预计目标</w:t>
            </w:r>
          </w:p>
        </w:tc>
      </w:tr>
      <w:tr w14:paraId="73015E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67AB0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7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525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BFC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DCA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666C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AE8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C647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4F7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ECD2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E0E34"/>
        </w:tc>
      </w:tr>
    </w:tbl>
    <w:p w14:paraId="50CD660E">
      <w:r>
        <w:br w:type="page"/>
      </w:r>
    </w:p>
    <w:p w14:paraId="2ECFAF32">
      <w:pPr>
        <w:spacing w:line="640" w:lineRule="exact"/>
        <w:ind w:firstLine="640"/>
        <w:jc w:val="both"/>
        <w:outlineLvl w:val="2"/>
      </w:pPr>
      <w:r>
        <w:rPr>
          <w:rFonts w:ascii="黑体" w:hAnsi="黑体" w:eastAsia="黑体"/>
          <w:sz w:val="32"/>
        </w:rPr>
        <w:t>十二、其他需说明的事项</w:t>
      </w:r>
    </w:p>
    <w:p w14:paraId="62D01199">
      <w:pPr>
        <w:spacing w:line="580" w:lineRule="exact"/>
        <w:ind w:firstLine="640"/>
        <w:jc w:val="both"/>
      </w:pPr>
      <w:r>
        <w:rPr>
          <w:rFonts w:ascii="仿宋_GB2312" w:hAnsi="仿宋_GB2312" w:eastAsia="仿宋_GB2312"/>
          <w:b w:val="0"/>
          <w:sz w:val="32"/>
        </w:rPr>
        <w:t>本单位无其他需说明的事项。</w:t>
      </w:r>
    </w:p>
    <w:p w14:paraId="2BB9A230">
      <w:r>
        <w:br w:type="page"/>
      </w:r>
    </w:p>
    <w:p w14:paraId="7CD1F0ED">
      <w:pPr>
        <w:spacing w:line="240" w:lineRule="auto"/>
        <w:jc w:val="center"/>
        <w:outlineLvl w:val="1"/>
      </w:pPr>
      <w:r>
        <w:rPr>
          <w:rFonts w:ascii="黑体" w:hAnsi="黑体" w:eastAsia="黑体"/>
          <w:sz w:val="32"/>
        </w:rPr>
        <w:t>第三部分 专业名词解释</w:t>
      </w:r>
    </w:p>
    <w:p w14:paraId="682CE9F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FE17B5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90E456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EA5B11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B60C44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727D25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835456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1FE600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59362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6EA247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BFED9F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B8EDB8">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8C0D79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0AD44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E4BD709">
      <w:r>
        <w:br w:type="page"/>
      </w:r>
    </w:p>
    <w:p w14:paraId="5FB16B31">
      <w:pPr>
        <w:spacing w:line="240" w:lineRule="auto"/>
        <w:jc w:val="center"/>
        <w:outlineLvl w:val="1"/>
      </w:pPr>
      <w:r>
        <w:rPr>
          <w:rFonts w:ascii="黑体" w:hAnsi="黑体" w:eastAsia="黑体"/>
          <w:sz w:val="32"/>
        </w:rPr>
        <w:t>第四部分 部门决算报表（见附表）</w:t>
      </w:r>
    </w:p>
    <w:p w14:paraId="26BD36EB">
      <w:pPr>
        <w:spacing w:line="240" w:lineRule="auto"/>
        <w:ind w:firstLine="640"/>
        <w:jc w:val="both"/>
      </w:pPr>
      <w:r>
        <w:rPr>
          <w:rFonts w:ascii="仿宋_GB2312" w:hAnsi="仿宋_GB2312" w:eastAsia="仿宋_GB2312"/>
          <w:b w:val="0"/>
          <w:sz w:val="32"/>
        </w:rPr>
        <w:t>一、《收入支出决算总表》</w:t>
      </w:r>
    </w:p>
    <w:p w14:paraId="2D863E8A">
      <w:pPr>
        <w:spacing w:line="240" w:lineRule="auto"/>
        <w:ind w:firstLine="640"/>
        <w:jc w:val="both"/>
      </w:pPr>
      <w:r>
        <w:rPr>
          <w:rFonts w:ascii="仿宋_GB2312" w:hAnsi="仿宋_GB2312" w:eastAsia="仿宋_GB2312"/>
          <w:b w:val="0"/>
          <w:sz w:val="32"/>
        </w:rPr>
        <w:t>二、《收入决算表》</w:t>
      </w:r>
    </w:p>
    <w:p w14:paraId="7F6947C0">
      <w:pPr>
        <w:spacing w:line="240" w:lineRule="auto"/>
        <w:ind w:firstLine="640"/>
        <w:jc w:val="both"/>
      </w:pPr>
      <w:r>
        <w:rPr>
          <w:rFonts w:ascii="仿宋_GB2312" w:hAnsi="仿宋_GB2312" w:eastAsia="仿宋_GB2312"/>
          <w:b w:val="0"/>
          <w:sz w:val="32"/>
        </w:rPr>
        <w:t>三、《支出决算表》</w:t>
      </w:r>
    </w:p>
    <w:p w14:paraId="04853DDB">
      <w:pPr>
        <w:spacing w:line="240" w:lineRule="auto"/>
        <w:ind w:firstLine="640"/>
        <w:jc w:val="both"/>
      </w:pPr>
      <w:r>
        <w:rPr>
          <w:rFonts w:ascii="仿宋_GB2312" w:hAnsi="仿宋_GB2312" w:eastAsia="仿宋_GB2312"/>
          <w:b w:val="0"/>
          <w:sz w:val="32"/>
        </w:rPr>
        <w:t>四、《财政拨款收入支出决算总表》</w:t>
      </w:r>
    </w:p>
    <w:p w14:paraId="76B05F94">
      <w:pPr>
        <w:spacing w:line="240" w:lineRule="auto"/>
        <w:ind w:firstLine="640"/>
        <w:jc w:val="both"/>
      </w:pPr>
      <w:r>
        <w:rPr>
          <w:rFonts w:ascii="仿宋_GB2312" w:hAnsi="仿宋_GB2312" w:eastAsia="仿宋_GB2312"/>
          <w:b w:val="0"/>
          <w:sz w:val="32"/>
        </w:rPr>
        <w:t>五、《一般公共预算财政拨款支出决算表》</w:t>
      </w:r>
    </w:p>
    <w:p w14:paraId="2D0F1F23">
      <w:pPr>
        <w:spacing w:line="240" w:lineRule="auto"/>
        <w:ind w:firstLine="640"/>
        <w:jc w:val="both"/>
      </w:pPr>
      <w:r>
        <w:rPr>
          <w:rFonts w:ascii="仿宋_GB2312" w:hAnsi="仿宋_GB2312" w:eastAsia="仿宋_GB2312"/>
          <w:b w:val="0"/>
          <w:sz w:val="32"/>
        </w:rPr>
        <w:t>六、《一般公共预算财政拨款基本支出决算表》</w:t>
      </w:r>
    </w:p>
    <w:p w14:paraId="179B078B">
      <w:pPr>
        <w:spacing w:line="240" w:lineRule="auto"/>
        <w:ind w:firstLine="640"/>
        <w:jc w:val="both"/>
      </w:pPr>
      <w:r>
        <w:rPr>
          <w:rFonts w:ascii="仿宋_GB2312" w:hAnsi="仿宋_GB2312" w:eastAsia="仿宋_GB2312"/>
          <w:b w:val="0"/>
          <w:sz w:val="32"/>
        </w:rPr>
        <w:t>七、《政府性基金预算财政拨款收入支出决算表》</w:t>
      </w:r>
    </w:p>
    <w:p w14:paraId="47712460">
      <w:pPr>
        <w:spacing w:line="240" w:lineRule="auto"/>
        <w:ind w:firstLine="640"/>
        <w:jc w:val="both"/>
      </w:pPr>
      <w:r>
        <w:rPr>
          <w:rFonts w:ascii="仿宋_GB2312" w:hAnsi="仿宋_GB2312" w:eastAsia="仿宋_GB2312"/>
          <w:b w:val="0"/>
          <w:sz w:val="32"/>
        </w:rPr>
        <w:t>八、《国有资本经营预算财政拨款收入支出决算表》</w:t>
      </w:r>
    </w:p>
    <w:p w14:paraId="0406C67C">
      <w:pPr>
        <w:spacing w:line="240" w:lineRule="auto"/>
        <w:ind w:firstLine="640"/>
        <w:jc w:val="both"/>
      </w:pPr>
      <w:r>
        <w:rPr>
          <w:rFonts w:ascii="仿宋_GB2312" w:hAnsi="仿宋_GB2312" w:eastAsia="仿宋_GB2312"/>
          <w:b w:val="0"/>
          <w:sz w:val="32"/>
        </w:rPr>
        <w:t>九、《财政拨款“三公”经费支出决算表》</w:t>
      </w:r>
    </w:p>
    <w:p w14:paraId="6B5E3474">
      <w:pPr>
        <w:spacing w:line="240" w:lineRule="auto"/>
        <w:ind w:firstLine="640"/>
        <w:jc w:val="both"/>
      </w:pPr>
    </w:p>
    <w:p w14:paraId="281F1206">
      <w:pPr>
        <w:spacing w:line="240" w:lineRule="auto"/>
        <w:ind w:firstLine="640"/>
        <w:jc w:val="both"/>
      </w:pPr>
    </w:p>
    <w:p w14:paraId="46E9B896">
      <w:pPr>
        <w:spacing w:line="240" w:lineRule="auto"/>
        <w:ind w:firstLine="640"/>
        <w:jc w:val="both"/>
      </w:pPr>
    </w:p>
    <w:p w14:paraId="5844294A">
      <w:pPr>
        <w:spacing w:line="240" w:lineRule="auto"/>
        <w:ind w:firstLine="640"/>
        <w:jc w:val="both"/>
      </w:pPr>
    </w:p>
    <w:p w14:paraId="05C936F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2">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3790E6D"/>
    <w:rsid w:val="543D17CB"/>
    <w:rsid w:val="54F41FB5"/>
    <w:rsid w:val="55DA564E"/>
    <w:rsid w:val="56E07045"/>
    <w:rsid w:val="583059FA"/>
    <w:rsid w:val="587E6212"/>
    <w:rsid w:val="5AFC6609"/>
    <w:rsid w:val="5FA17648"/>
    <w:rsid w:val="5FD320BD"/>
    <w:rsid w:val="60DE4D57"/>
    <w:rsid w:val="613409CB"/>
    <w:rsid w:val="61A46A97"/>
    <w:rsid w:val="62DD7D21"/>
    <w:rsid w:val="65D97752"/>
    <w:rsid w:val="664C500C"/>
    <w:rsid w:val="67D111AB"/>
    <w:rsid w:val="67E70FE0"/>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6201</Words>
  <Characters>7223</Characters>
  <Lines>0</Lines>
  <Paragraphs>0</Paragraphs>
  <TotalTime>8</TotalTime>
  <ScaleCrop>false</ScaleCrop>
  <LinksUpToDate>false</LinksUpToDate>
  <CharactersWithSpaces>7231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2025-10-14T02:34:38Z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