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吉木萨尔县统计局2024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B8ABCBF">
      <w:r>
        <w:br w:type="page"/>
      </w:r>
    </w:p>
    <w:p w14:paraId="283C4659">
      <w:pPr>
        <w:spacing w:line="640" w:lineRule="exact"/>
        <w:jc w:val="center"/>
        <w:outlineLvl w:val="1"/>
      </w:pPr>
      <w:r>
        <w:rPr>
          <w:rFonts w:ascii="黑体" w:hAnsi="黑体" w:eastAsia="黑体"/>
          <w:sz w:val="32"/>
        </w:rPr>
        <w:t>第一部分 单位概况</w:t>
      </w:r>
    </w:p>
    <w:p w14:paraId="5C73A77A">
      <w:pPr>
        <w:spacing w:line="640" w:lineRule="exact"/>
        <w:ind w:firstLine="640"/>
        <w:jc w:val="both"/>
        <w:outlineLvl w:val="2"/>
      </w:pPr>
      <w:r>
        <w:rPr>
          <w:rFonts w:ascii="黑体" w:hAnsi="黑体" w:eastAsia="黑体"/>
          <w:sz w:val="32"/>
        </w:rPr>
        <w:t>一、主要职能</w:t>
      </w:r>
    </w:p>
    <w:p w14:paraId="74CF2412">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完成国家统计调查任务，执行国家统一的基本统计报表制度。</w:t>
      </w:r>
    </w:p>
    <w:p w14:paraId="48E42052">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制定本行政区域内统计工作规划计划、统计调查计划和方案，统一领导和协调本行政区域内包括中央和地方单位的统计工作，监督检查统计法规和统计制度的实施。</w:t>
      </w:r>
    </w:p>
    <w:p w14:paraId="0C9156D0">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根据本行政区域内规划和管理的需要，搜集整理，提供基本统计资料，对本行政区域内国民经济和社会发展情况进行统计分析、统计预测和统计监督。</w:t>
      </w:r>
    </w:p>
    <w:p w14:paraId="28AE37E9">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审查本行政区域内各部门的统计调查计划和统计调查方案，管理本行政区域内各部门制发的统计调查表。</w:t>
      </w:r>
    </w:p>
    <w:p w14:paraId="2D85D240">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检查、审定、管理、公布、出版本行政区域内的基本统计资料，发布本行政区域内国民经济和社会215发展情况的统计公报。</w:t>
      </w:r>
    </w:p>
    <w:p w14:paraId="54F1034A">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统一管理本行政区域内城市和农村社会经济抽样调查队。</w:t>
      </w:r>
    </w:p>
    <w:p w14:paraId="43767912">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对本行政区域内人民政府统计机构干部和乡镇统计员进行协助管理，业务上</w:t>
      </w:r>
      <w:r>
        <w:rPr>
          <w:rFonts w:hint="eastAsia" w:ascii="仿宋_GB2312" w:hAnsi="仿宋_GB2312" w:eastAsia="仿宋_GB2312"/>
          <w:sz w:val="32"/>
          <w:lang w:eastAsia="zh-CN"/>
        </w:rPr>
        <w:t>以</w:t>
      </w:r>
      <w:r>
        <w:rPr>
          <w:rFonts w:ascii="仿宋_GB2312" w:hAnsi="仿宋_GB2312" w:eastAsia="仿宋_GB2312"/>
          <w:sz w:val="32"/>
        </w:rPr>
        <w:t>上级人民政府统计机构领导为主。</w:t>
      </w:r>
    </w:p>
    <w:p w14:paraId="1211D9C5">
      <w:pPr>
        <w:spacing w:line="640" w:lineRule="exact"/>
        <w:ind w:firstLine="640"/>
        <w:jc w:val="both"/>
        <w:outlineLvl w:val="2"/>
      </w:pPr>
      <w:r>
        <w:rPr>
          <w:rFonts w:ascii="黑体" w:hAnsi="黑体" w:eastAsia="黑体"/>
          <w:sz w:val="32"/>
        </w:rPr>
        <w:t>二、机构设置及人员情况</w:t>
      </w:r>
    </w:p>
    <w:p w14:paraId="766703CB">
      <w:pPr>
        <w:spacing w:line="580" w:lineRule="exact"/>
        <w:ind w:firstLine="640"/>
        <w:jc w:val="both"/>
      </w:pPr>
      <w:r>
        <w:rPr>
          <w:rFonts w:ascii="仿宋_GB2312" w:hAnsi="仿宋_GB2312" w:eastAsia="仿宋_GB2312"/>
          <w:sz w:val="32"/>
        </w:rPr>
        <w:t>吉木萨尔县统计局2024年度，实有人数24人，其中：在职人员15人，增加3人；离休人员0人，增加0人；退休人员9人,增加0人。</w:t>
      </w:r>
    </w:p>
    <w:p w14:paraId="39905FB2">
      <w:pPr>
        <w:spacing w:line="580" w:lineRule="exact"/>
        <w:ind w:firstLine="640"/>
        <w:jc w:val="both"/>
      </w:pPr>
      <w:r>
        <w:rPr>
          <w:rFonts w:ascii="仿宋_GB2312" w:hAnsi="仿宋_GB2312" w:eastAsia="仿宋_GB2312"/>
          <w:sz w:val="32"/>
        </w:rPr>
        <w:t>吉木萨尔县统计局无下属预算单位，下设2个科室，分别是：综合科、统计执法科。</w:t>
      </w:r>
    </w:p>
    <w:p w14:paraId="1C999468">
      <w:r>
        <w:br w:type="page"/>
      </w:r>
    </w:p>
    <w:p w14:paraId="09106CE8">
      <w:pPr>
        <w:spacing w:line="240" w:lineRule="auto"/>
        <w:jc w:val="center"/>
        <w:outlineLvl w:val="1"/>
      </w:pPr>
      <w:r>
        <w:rPr>
          <w:rFonts w:ascii="黑体" w:hAnsi="黑体" w:eastAsia="黑体"/>
          <w:sz w:val="32"/>
        </w:rPr>
        <w:t>第二部分 部门决算情况说明</w:t>
      </w:r>
    </w:p>
    <w:p w14:paraId="33E0F8CB">
      <w:pPr>
        <w:spacing w:line="640" w:lineRule="exact"/>
        <w:ind w:firstLine="640"/>
        <w:jc w:val="both"/>
        <w:outlineLvl w:val="2"/>
      </w:pPr>
      <w:r>
        <w:rPr>
          <w:rFonts w:ascii="黑体" w:hAnsi="黑体" w:eastAsia="黑体"/>
          <w:sz w:val="32"/>
        </w:rPr>
        <w:t>一、收入支出决算总体情况说明</w:t>
      </w:r>
    </w:p>
    <w:p w14:paraId="294B0C19">
      <w:pPr>
        <w:spacing w:line="580" w:lineRule="exact"/>
        <w:ind w:firstLine="640"/>
        <w:jc w:val="both"/>
      </w:pPr>
      <w:r>
        <w:rPr>
          <w:rFonts w:ascii="仿宋_GB2312" w:hAnsi="仿宋_GB2312" w:eastAsia="仿宋_GB2312"/>
          <w:b/>
          <w:sz w:val="32"/>
        </w:rPr>
        <w:t>2024年度收入总计423.03万元，</w:t>
      </w:r>
      <w:r>
        <w:rPr>
          <w:rFonts w:ascii="仿宋_GB2312" w:hAnsi="仿宋_GB2312" w:eastAsia="仿宋_GB2312"/>
          <w:b w:val="0"/>
          <w:sz w:val="32"/>
        </w:rPr>
        <w:t>其中：本年收入合计420.68万元，使用非财政拨款结余（含专用结余）0.00万元，年初结转和结余2.35万元。</w:t>
      </w:r>
    </w:p>
    <w:p w14:paraId="326A1508">
      <w:pPr>
        <w:spacing w:line="580" w:lineRule="exact"/>
        <w:ind w:firstLine="640"/>
        <w:jc w:val="both"/>
      </w:pPr>
      <w:r>
        <w:rPr>
          <w:rFonts w:ascii="仿宋_GB2312" w:hAnsi="仿宋_GB2312" w:eastAsia="仿宋_GB2312"/>
          <w:b/>
          <w:sz w:val="32"/>
        </w:rPr>
        <w:t>2024年度支出总计423.03万元，</w:t>
      </w:r>
      <w:r>
        <w:rPr>
          <w:rFonts w:ascii="仿宋_GB2312" w:hAnsi="仿宋_GB2312" w:eastAsia="仿宋_GB2312"/>
          <w:b w:val="0"/>
          <w:sz w:val="32"/>
        </w:rPr>
        <w:t>其中：本年支出合计423.03万元，结余分配0.00万元，年末结转和结余0.00万元。</w:t>
      </w:r>
    </w:p>
    <w:p w14:paraId="13321094">
      <w:pPr>
        <w:spacing w:line="580" w:lineRule="exact"/>
        <w:ind w:firstLine="640"/>
        <w:jc w:val="both"/>
      </w:pPr>
      <w:r>
        <w:rPr>
          <w:rFonts w:ascii="仿宋_GB2312" w:hAnsi="仿宋_GB2312" w:eastAsia="仿宋_GB2312"/>
          <w:b w:val="0"/>
          <w:sz w:val="32"/>
        </w:rPr>
        <w:t>收入支出总体与上年相比，增加65.87万元，增长18.44%，主要原因是：本年新增在职人员，在职人员工资调增，</w:t>
      </w:r>
      <w:r>
        <w:rPr>
          <w:rFonts w:hint="eastAsia" w:ascii="仿宋_GB2312" w:hAnsi="仿宋_GB2312" w:eastAsia="仿宋_GB2312"/>
          <w:b w:val="0"/>
          <w:sz w:val="32"/>
          <w:lang w:val="en-US" w:eastAsia="zh-CN"/>
        </w:rPr>
        <w:t>社保、公积金缴费基数调增，</w:t>
      </w:r>
      <w:r>
        <w:rPr>
          <w:rFonts w:ascii="仿宋_GB2312" w:hAnsi="仿宋_GB2312" w:eastAsia="仿宋_GB2312"/>
          <w:b w:val="0"/>
          <w:sz w:val="32"/>
        </w:rPr>
        <w:t>导致相关人员经费较上年有所增加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w:t>
      </w:r>
      <w:r>
        <w:rPr>
          <w:rFonts w:ascii="仿宋_GB2312" w:hAnsi="仿宋_GB2312" w:eastAsia="仿宋_GB2312"/>
          <w:b w:val="0"/>
          <w:sz w:val="32"/>
        </w:rPr>
        <w:t>专项统计业务办公费及劳务费</w:t>
      </w:r>
      <w:r>
        <w:rPr>
          <w:rFonts w:hint="eastAsia" w:ascii="仿宋_GB2312" w:hAnsi="仿宋_GB2312" w:eastAsia="仿宋_GB2312"/>
          <w:b w:val="0"/>
          <w:sz w:val="32"/>
          <w:lang w:eastAsia="zh-CN"/>
        </w:rPr>
        <w:t>、</w:t>
      </w:r>
      <w:r>
        <w:rPr>
          <w:rFonts w:ascii="仿宋_GB2312" w:hAnsi="仿宋_GB2312" w:eastAsia="仿宋_GB2312"/>
          <w:b w:val="0"/>
          <w:sz w:val="32"/>
        </w:rPr>
        <w:t>统计管理劳务费</w:t>
      </w:r>
      <w:r>
        <w:rPr>
          <w:rFonts w:hint="eastAsia" w:ascii="仿宋_GB2312" w:hAnsi="仿宋_GB2312" w:eastAsia="仿宋_GB2312"/>
          <w:b w:val="0"/>
          <w:sz w:val="32"/>
          <w:lang w:val="en-US" w:eastAsia="zh-CN"/>
        </w:rPr>
        <w:t>较上年增加。</w:t>
      </w:r>
    </w:p>
    <w:p w14:paraId="43D52C85">
      <w:pPr>
        <w:spacing w:line="640" w:lineRule="exact"/>
        <w:ind w:firstLine="640"/>
        <w:jc w:val="both"/>
        <w:outlineLvl w:val="2"/>
      </w:pPr>
      <w:r>
        <w:rPr>
          <w:rFonts w:ascii="黑体" w:hAnsi="黑体" w:eastAsia="黑体"/>
          <w:sz w:val="32"/>
        </w:rPr>
        <w:t>二、收入决算情况说明</w:t>
      </w:r>
    </w:p>
    <w:p w14:paraId="1CFA00EE">
      <w:pPr>
        <w:spacing w:line="580" w:lineRule="exact"/>
        <w:ind w:firstLine="640"/>
        <w:jc w:val="both"/>
      </w:pPr>
      <w:r>
        <w:rPr>
          <w:rFonts w:ascii="仿宋_GB2312" w:hAnsi="仿宋_GB2312" w:eastAsia="仿宋_GB2312"/>
          <w:b/>
          <w:sz w:val="32"/>
        </w:rPr>
        <w:t>本年收入420.68万元，</w:t>
      </w:r>
      <w:r>
        <w:rPr>
          <w:rFonts w:ascii="仿宋_GB2312" w:hAnsi="仿宋_GB2312" w:eastAsia="仿宋_GB2312"/>
          <w:b w:val="0"/>
          <w:sz w:val="32"/>
        </w:rPr>
        <w:t>其中：财政拨款收入399.95万元，占95.07%；上级补助收入0.00万元，占0.00%；事业收入0.00万元，占0.00%；经营收入0.00万元，占0.00%；附属单位上缴收入0.00万元，占0.00%；其他收入20.73万元，占4.93%。</w:t>
      </w:r>
    </w:p>
    <w:p w14:paraId="286DEFE1">
      <w:pPr>
        <w:spacing w:line="640" w:lineRule="exact"/>
        <w:ind w:firstLine="640"/>
        <w:jc w:val="both"/>
        <w:outlineLvl w:val="2"/>
      </w:pPr>
      <w:r>
        <w:rPr>
          <w:rFonts w:ascii="黑体" w:hAnsi="黑体" w:eastAsia="黑体"/>
          <w:sz w:val="32"/>
        </w:rPr>
        <w:t>三、支出决算情况说明</w:t>
      </w:r>
    </w:p>
    <w:p w14:paraId="45BFFD20">
      <w:pPr>
        <w:spacing w:line="580" w:lineRule="exact"/>
        <w:ind w:firstLine="640"/>
        <w:jc w:val="both"/>
      </w:pPr>
      <w:r>
        <w:rPr>
          <w:rFonts w:ascii="仿宋_GB2312" w:hAnsi="仿宋_GB2312" w:eastAsia="仿宋_GB2312"/>
          <w:b/>
          <w:sz w:val="32"/>
        </w:rPr>
        <w:t>本年支出423.03万元，</w:t>
      </w:r>
      <w:r>
        <w:rPr>
          <w:rFonts w:ascii="仿宋_GB2312" w:hAnsi="仿宋_GB2312" w:eastAsia="仿宋_GB2312"/>
          <w:b w:val="0"/>
          <w:sz w:val="32"/>
        </w:rPr>
        <w:t>其中：基本支出423.03万元，占100.00%；项目支出0.00万元，占0.00%；上缴上级支出0.00万元，占0.00%；经营支出0.00万元，占0.00%；对附属单位补助支出0.00万元，占0.00%。</w:t>
      </w:r>
    </w:p>
    <w:p w14:paraId="3A251D06">
      <w:pPr>
        <w:spacing w:line="640" w:lineRule="exact"/>
        <w:ind w:firstLine="640"/>
        <w:jc w:val="both"/>
        <w:outlineLvl w:val="2"/>
      </w:pPr>
      <w:r>
        <w:rPr>
          <w:rFonts w:ascii="黑体" w:hAnsi="黑体" w:eastAsia="黑体"/>
          <w:sz w:val="32"/>
        </w:rPr>
        <w:t>四、财政拨款收入支出决算总体情况说明</w:t>
      </w:r>
    </w:p>
    <w:p w14:paraId="15A60B96">
      <w:pPr>
        <w:spacing w:line="580" w:lineRule="exact"/>
        <w:ind w:firstLine="640"/>
        <w:jc w:val="both"/>
      </w:pPr>
      <w:r>
        <w:rPr>
          <w:rFonts w:ascii="仿宋_GB2312" w:hAnsi="仿宋_GB2312" w:eastAsia="仿宋_GB2312"/>
          <w:b/>
          <w:sz w:val="32"/>
        </w:rPr>
        <w:t>2024年度财政拨款收入总计399.95万元，</w:t>
      </w:r>
      <w:r>
        <w:rPr>
          <w:rFonts w:ascii="仿宋_GB2312" w:hAnsi="仿宋_GB2312" w:eastAsia="仿宋_GB2312"/>
          <w:b w:val="0"/>
          <w:sz w:val="32"/>
        </w:rPr>
        <w:t>其中：年初财政拨款结转和结余0.00万元，本年财政拨款收入399.95万元。</w:t>
      </w:r>
      <w:r>
        <w:rPr>
          <w:rFonts w:ascii="仿宋_GB2312" w:hAnsi="仿宋_GB2312" w:eastAsia="仿宋_GB2312"/>
          <w:b/>
          <w:sz w:val="32"/>
        </w:rPr>
        <w:t>财政拨款支出总计399.95万元，</w:t>
      </w:r>
      <w:r>
        <w:rPr>
          <w:rFonts w:ascii="仿宋_GB2312" w:hAnsi="仿宋_GB2312" w:eastAsia="仿宋_GB2312"/>
          <w:b w:val="0"/>
          <w:sz w:val="32"/>
        </w:rPr>
        <w:t>其中：年末财政拨款结转和结余0.00万元，本年财政拨款支出399.95万元。</w:t>
      </w:r>
    </w:p>
    <w:p w14:paraId="3B787E9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增加69.48万元，增长21.02%，主要原因是：本年新增在职人员，在职人员工资调增，</w:t>
      </w:r>
      <w:r>
        <w:rPr>
          <w:rFonts w:hint="eastAsia" w:ascii="仿宋_GB2312" w:hAnsi="仿宋_GB2312" w:eastAsia="仿宋_GB2312"/>
          <w:b w:val="0"/>
          <w:sz w:val="32"/>
          <w:lang w:val="en-US" w:eastAsia="zh-CN"/>
        </w:rPr>
        <w:t>社保、公积金缴费基数调增，</w:t>
      </w:r>
      <w:r>
        <w:rPr>
          <w:rFonts w:ascii="仿宋_GB2312" w:hAnsi="仿宋_GB2312" w:eastAsia="仿宋_GB2312"/>
          <w:b w:val="0"/>
          <w:sz w:val="32"/>
        </w:rPr>
        <w:t>导致相关人员经费较上年有所增加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w:t>
      </w:r>
      <w:r>
        <w:rPr>
          <w:rFonts w:ascii="仿宋_GB2312" w:hAnsi="仿宋_GB2312" w:eastAsia="仿宋_GB2312"/>
          <w:b w:val="0"/>
          <w:sz w:val="32"/>
        </w:rPr>
        <w:t>专项统计业务办公费及劳务费</w:t>
      </w:r>
      <w:r>
        <w:rPr>
          <w:rFonts w:hint="eastAsia" w:ascii="仿宋_GB2312" w:hAnsi="仿宋_GB2312" w:eastAsia="仿宋_GB2312"/>
          <w:b w:val="0"/>
          <w:sz w:val="32"/>
          <w:lang w:eastAsia="zh-CN"/>
        </w:rPr>
        <w:t>、</w:t>
      </w:r>
      <w:r>
        <w:rPr>
          <w:rFonts w:ascii="仿宋_GB2312" w:hAnsi="仿宋_GB2312" w:eastAsia="仿宋_GB2312"/>
          <w:b w:val="0"/>
          <w:sz w:val="32"/>
        </w:rPr>
        <w:t>统计管理劳务费</w:t>
      </w:r>
      <w:r>
        <w:rPr>
          <w:rFonts w:hint="eastAsia" w:ascii="仿宋_GB2312" w:hAnsi="仿宋_GB2312" w:eastAsia="仿宋_GB2312"/>
          <w:b w:val="0"/>
          <w:sz w:val="32"/>
          <w:lang w:val="en-US" w:eastAsia="zh-CN"/>
        </w:rPr>
        <w:t>较上年增加。</w:t>
      </w:r>
      <w:r>
        <w:rPr>
          <w:rFonts w:ascii="仿宋_GB2312" w:hAnsi="仿宋_GB2312" w:eastAsia="仿宋_GB2312"/>
          <w:b/>
          <w:sz w:val="32"/>
        </w:rPr>
        <w:t>与年初预算相比，</w:t>
      </w:r>
      <w:r>
        <w:rPr>
          <w:rFonts w:ascii="仿宋_GB2312" w:hAnsi="仿宋_GB2312" w:eastAsia="仿宋_GB2312"/>
          <w:b w:val="0"/>
          <w:sz w:val="32"/>
        </w:rPr>
        <w:t>年初预算数265.67万元，决算数399.95万元，预决算差异率50.54%，主要原因是：2024年我局开展全国第五次经济普查、人口抽样调查等大型的普查调查工作，年中追加“两员”补助经费，导致经费预决算产生差异。</w:t>
      </w:r>
    </w:p>
    <w:p w14:paraId="2A4CFAD0">
      <w:pPr>
        <w:spacing w:line="640" w:lineRule="exact"/>
        <w:ind w:firstLine="640"/>
        <w:jc w:val="both"/>
        <w:outlineLvl w:val="2"/>
      </w:pPr>
      <w:r>
        <w:rPr>
          <w:rFonts w:ascii="黑体" w:hAnsi="黑体" w:eastAsia="黑体"/>
          <w:sz w:val="32"/>
        </w:rPr>
        <w:t>五、一般公共预算财政拨款支出决算情况说明</w:t>
      </w:r>
    </w:p>
    <w:p w14:paraId="22A9851E">
      <w:pPr>
        <w:spacing w:line="640" w:lineRule="exact"/>
        <w:ind w:firstLine="640"/>
        <w:jc w:val="both"/>
        <w:outlineLvl w:val="3"/>
      </w:pPr>
      <w:r>
        <w:rPr>
          <w:rFonts w:ascii="楷体_GB2312" w:hAnsi="楷体_GB2312" w:eastAsia="楷体_GB2312"/>
          <w:b/>
          <w:sz w:val="32"/>
        </w:rPr>
        <w:t>（一）一般公共预算财政拨款支出决算总体情况</w:t>
      </w:r>
    </w:p>
    <w:p w14:paraId="77AF2864">
      <w:pPr>
        <w:spacing w:line="580" w:lineRule="exact"/>
        <w:ind w:firstLine="640"/>
        <w:jc w:val="both"/>
      </w:pPr>
      <w:r>
        <w:rPr>
          <w:rFonts w:ascii="仿宋_GB2312" w:hAnsi="仿宋_GB2312" w:eastAsia="仿宋_GB2312"/>
          <w:b/>
          <w:sz w:val="32"/>
        </w:rPr>
        <w:t>2024年度一般公共预算财政拨款支出399.95万元，</w:t>
      </w:r>
      <w:r>
        <w:rPr>
          <w:rFonts w:ascii="仿宋_GB2312" w:hAnsi="仿宋_GB2312" w:eastAsia="仿宋_GB2312"/>
          <w:b w:val="0"/>
          <w:sz w:val="32"/>
        </w:rPr>
        <w:t>占本年支出合计的94.54%。</w:t>
      </w:r>
      <w:r>
        <w:rPr>
          <w:rFonts w:ascii="仿宋_GB2312" w:hAnsi="仿宋_GB2312" w:eastAsia="仿宋_GB2312"/>
          <w:b/>
          <w:sz w:val="32"/>
        </w:rPr>
        <w:t>与上年相比，</w:t>
      </w:r>
      <w:r>
        <w:rPr>
          <w:rFonts w:ascii="仿宋_GB2312" w:hAnsi="仿宋_GB2312" w:eastAsia="仿宋_GB2312"/>
          <w:b w:val="0"/>
          <w:sz w:val="32"/>
        </w:rPr>
        <w:t>增加69.48万元，增长21.02%，主要原因是：本年新增在职人员，在职人员工资调增，</w:t>
      </w:r>
      <w:r>
        <w:rPr>
          <w:rFonts w:hint="eastAsia" w:ascii="仿宋_GB2312" w:hAnsi="仿宋_GB2312" w:eastAsia="仿宋_GB2312"/>
          <w:b w:val="0"/>
          <w:sz w:val="32"/>
          <w:lang w:val="en-US" w:eastAsia="zh-CN"/>
        </w:rPr>
        <w:t>社保、公积金缴费基数调增，</w:t>
      </w:r>
      <w:r>
        <w:rPr>
          <w:rFonts w:ascii="仿宋_GB2312" w:hAnsi="仿宋_GB2312" w:eastAsia="仿宋_GB2312"/>
          <w:b w:val="0"/>
          <w:sz w:val="32"/>
        </w:rPr>
        <w:t>导致相关人员经费较上年有所增加</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本年</w:t>
      </w:r>
      <w:r>
        <w:rPr>
          <w:rFonts w:ascii="仿宋_GB2312" w:hAnsi="仿宋_GB2312" w:eastAsia="仿宋_GB2312"/>
          <w:b w:val="0"/>
          <w:sz w:val="32"/>
        </w:rPr>
        <w:t>专项统计业务办公费及劳务费</w:t>
      </w:r>
      <w:r>
        <w:rPr>
          <w:rFonts w:hint="eastAsia" w:ascii="仿宋_GB2312" w:hAnsi="仿宋_GB2312" w:eastAsia="仿宋_GB2312"/>
          <w:b w:val="0"/>
          <w:sz w:val="32"/>
          <w:lang w:eastAsia="zh-CN"/>
        </w:rPr>
        <w:t>、</w:t>
      </w:r>
      <w:r>
        <w:rPr>
          <w:rFonts w:ascii="仿宋_GB2312" w:hAnsi="仿宋_GB2312" w:eastAsia="仿宋_GB2312"/>
          <w:b w:val="0"/>
          <w:sz w:val="32"/>
        </w:rPr>
        <w:t>统计管理劳务费</w:t>
      </w:r>
      <w:r>
        <w:rPr>
          <w:rFonts w:hint="eastAsia" w:ascii="仿宋_GB2312" w:hAnsi="仿宋_GB2312" w:eastAsia="仿宋_GB2312"/>
          <w:b w:val="0"/>
          <w:sz w:val="32"/>
          <w:lang w:val="en-US" w:eastAsia="zh-CN"/>
        </w:rPr>
        <w:t>较上年增加。</w:t>
      </w:r>
      <w:r>
        <w:rPr>
          <w:rFonts w:ascii="仿宋_GB2312" w:hAnsi="仿宋_GB2312" w:eastAsia="仿宋_GB2312"/>
          <w:b/>
          <w:sz w:val="32"/>
        </w:rPr>
        <w:t>与年初预算相比,</w:t>
      </w:r>
      <w:r>
        <w:rPr>
          <w:rFonts w:ascii="仿宋_GB2312" w:hAnsi="仿宋_GB2312" w:eastAsia="仿宋_GB2312"/>
          <w:b w:val="0"/>
          <w:sz w:val="32"/>
        </w:rPr>
        <w:t>年初预算数265.67万元，决算数399.95万元，预决算差异率50.54%，主要原因是：2024年我局开展全国第五次经济普查、人口抽样调查等大型的普查调查工作，年中追加“两员”补助经费，导致经费预决算产生差异。</w:t>
      </w:r>
    </w:p>
    <w:p w14:paraId="74D154C3">
      <w:pPr>
        <w:spacing w:line="640" w:lineRule="exact"/>
        <w:ind w:firstLine="640"/>
        <w:jc w:val="both"/>
        <w:outlineLvl w:val="3"/>
      </w:pPr>
      <w:r>
        <w:rPr>
          <w:rFonts w:ascii="楷体_GB2312" w:hAnsi="楷体_GB2312" w:eastAsia="楷体_GB2312"/>
          <w:b/>
          <w:sz w:val="32"/>
        </w:rPr>
        <w:t>（二）一般公共预算财政拨款支出决算结构情况</w:t>
      </w:r>
    </w:p>
    <w:p w14:paraId="7DD6C750">
      <w:pPr>
        <w:spacing w:line="580" w:lineRule="exact"/>
        <w:ind w:firstLine="640"/>
        <w:jc w:val="both"/>
      </w:pPr>
      <w:r>
        <w:rPr>
          <w:rFonts w:ascii="仿宋_GB2312" w:hAnsi="仿宋_GB2312" w:eastAsia="仿宋_GB2312"/>
          <w:b w:val="0"/>
          <w:sz w:val="32"/>
        </w:rPr>
        <w:t>1.一般公共服务支出(类)323.69万元,占80.93%。</w:t>
      </w:r>
    </w:p>
    <w:p w14:paraId="3BB56B8E">
      <w:pPr>
        <w:spacing w:line="580" w:lineRule="exact"/>
        <w:ind w:firstLine="640"/>
        <w:jc w:val="both"/>
      </w:pPr>
      <w:r>
        <w:rPr>
          <w:rFonts w:ascii="仿宋_GB2312" w:hAnsi="仿宋_GB2312" w:eastAsia="仿宋_GB2312"/>
          <w:b w:val="0"/>
          <w:sz w:val="32"/>
        </w:rPr>
        <w:t>2.科学技术支出(类)1.20万元,占0.30%。</w:t>
      </w:r>
    </w:p>
    <w:p w14:paraId="38674DBB">
      <w:pPr>
        <w:spacing w:line="580" w:lineRule="exact"/>
        <w:ind w:firstLine="640"/>
        <w:jc w:val="both"/>
      </w:pPr>
      <w:r>
        <w:rPr>
          <w:rFonts w:ascii="仿宋_GB2312" w:hAnsi="仿宋_GB2312" w:eastAsia="仿宋_GB2312"/>
          <w:b w:val="0"/>
          <w:sz w:val="32"/>
        </w:rPr>
        <w:t>3.社会保障和就业支出(类)42.85万元,占10.71%。</w:t>
      </w:r>
    </w:p>
    <w:p w14:paraId="5F499455">
      <w:pPr>
        <w:spacing w:line="580" w:lineRule="exact"/>
        <w:ind w:firstLine="640"/>
        <w:jc w:val="both"/>
      </w:pPr>
      <w:r>
        <w:rPr>
          <w:rFonts w:ascii="仿宋_GB2312" w:hAnsi="仿宋_GB2312" w:eastAsia="仿宋_GB2312"/>
          <w:b w:val="0"/>
          <w:sz w:val="32"/>
        </w:rPr>
        <w:t>4.卫生健康支出(类)12.74万元,占3.19%。</w:t>
      </w:r>
    </w:p>
    <w:p w14:paraId="16DC6E46">
      <w:pPr>
        <w:spacing w:line="580" w:lineRule="exact"/>
        <w:ind w:firstLine="640"/>
        <w:jc w:val="both"/>
      </w:pPr>
      <w:r>
        <w:rPr>
          <w:rFonts w:ascii="仿宋_GB2312" w:hAnsi="仿宋_GB2312" w:eastAsia="仿宋_GB2312"/>
          <w:b w:val="0"/>
          <w:sz w:val="32"/>
        </w:rPr>
        <w:t>5.住房保障支出(类)19.47万元,占4.87%。</w:t>
      </w:r>
    </w:p>
    <w:p w14:paraId="419F9C66">
      <w:pPr>
        <w:spacing w:line="640" w:lineRule="exact"/>
        <w:ind w:firstLine="640"/>
        <w:jc w:val="both"/>
        <w:outlineLvl w:val="3"/>
      </w:pPr>
      <w:r>
        <w:rPr>
          <w:rFonts w:ascii="楷体_GB2312" w:hAnsi="楷体_GB2312" w:eastAsia="楷体_GB2312"/>
          <w:b/>
          <w:sz w:val="32"/>
        </w:rPr>
        <w:t>（三）一般公共预算财政拨款支出决算具体情况</w:t>
      </w:r>
    </w:p>
    <w:p w14:paraId="51955707">
      <w:pPr>
        <w:spacing w:line="580" w:lineRule="exact"/>
        <w:ind w:firstLine="640"/>
        <w:jc w:val="both"/>
      </w:pPr>
      <w:r>
        <w:rPr>
          <w:rFonts w:ascii="仿宋_GB2312" w:hAnsi="仿宋_GB2312" w:eastAsia="仿宋_GB2312"/>
          <w:b w:val="0"/>
          <w:sz w:val="32"/>
        </w:rPr>
        <w:t>1.一般公共服务支出(类)统计信息事务(款)行政运行(项):支出决算数为148.96万元，比上年决算增加15.01万元，增长11.21%,主要原因是：（1）本年在职人员工资调增，导致相关人员经费较上年有所增加。（2）本年新增在职人员，人员经费增加，导致经费较上年有所增加。</w:t>
      </w:r>
    </w:p>
    <w:p w14:paraId="7E267346">
      <w:pPr>
        <w:spacing w:line="580" w:lineRule="exact"/>
        <w:ind w:firstLine="640"/>
        <w:jc w:val="both"/>
        <w:rPr>
          <w:spacing w:val="-6"/>
          <w:sz w:val="32"/>
        </w:rPr>
      </w:pPr>
      <w:r>
        <w:rPr>
          <w:rFonts w:ascii="仿宋_GB2312" w:hAnsi="仿宋_GB2312" w:eastAsia="仿宋_GB2312"/>
          <w:b w:val="0"/>
          <w:spacing w:val="-6"/>
          <w:sz w:val="32"/>
        </w:rPr>
        <w:t>2.一般公共服务支出(类)统计信息事务(款)专项统计业务(项):支出决算数为0.00万元，比上年决算减少6.34万元，下降100.00%,主要原因是：本年专项统计业务办公费及劳务费由专项统计业务科目调整至专项普查活动科目列支，经费较上年减少。</w:t>
      </w:r>
    </w:p>
    <w:p w14:paraId="457C32EC">
      <w:pPr>
        <w:spacing w:line="580" w:lineRule="exact"/>
        <w:ind w:firstLine="640"/>
        <w:jc w:val="both"/>
      </w:pPr>
      <w:r>
        <w:rPr>
          <w:rFonts w:ascii="仿宋_GB2312" w:hAnsi="仿宋_GB2312" w:eastAsia="仿宋_GB2312"/>
          <w:b w:val="0"/>
          <w:sz w:val="32"/>
        </w:rPr>
        <w:t>3.一般公共服务支出(类)统计信息事务(款)统计管理(项):支出决算数为0.00万元，比上年决算减少27.36万元，下降100.00%,主要原因是：本年统计管理劳务费由统计管理科目调整至专项普查活动科目列支，经费较上年减少。</w:t>
      </w:r>
    </w:p>
    <w:p w14:paraId="2E39D5F1">
      <w:pPr>
        <w:spacing w:line="580" w:lineRule="exact"/>
        <w:ind w:firstLine="640"/>
        <w:jc w:val="both"/>
      </w:pPr>
      <w:r>
        <w:rPr>
          <w:rFonts w:ascii="仿宋_GB2312" w:hAnsi="仿宋_GB2312" w:eastAsia="仿宋_GB2312"/>
          <w:b w:val="0"/>
          <w:sz w:val="32"/>
        </w:rPr>
        <w:t>4.一般公共服务支出(类)统计信息事务(款)专项普查活动(项):支出决算数为90.92万元，比上年决算增加48.59万元，增长114.79%,主要原因是：本年专项统计业务办公费及劳务费由专项统计业务科目调整至</w:t>
      </w:r>
      <w:r>
        <w:rPr>
          <w:rFonts w:hint="eastAsia" w:ascii="仿宋_GB2312" w:hAnsi="仿宋_GB2312" w:eastAsia="仿宋_GB2312"/>
          <w:b w:val="0"/>
          <w:sz w:val="32"/>
          <w:lang w:val="en-US" w:eastAsia="zh-CN"/>
        </w:rPr>
        <w:t>本</w:t>
      </w:r>
      <w:r>
        <w:rPr>
          <w:rFonts w:ascii="仿宋_GB2312" w:hAnsi="仿宋_GB2312" w:eastAsia="仿宋_GB2312"/>
          <w:b w:val="0"/>
          <w:sz w:val="32"/>
        </w:rPr>
        <w:t>科目列支，统计管理劳务费由统计管理科目调整至</w:t>
      </w:r>
      <w:r>
        <w:rPr>
          <w:rFonts w:hint="eastAsia" w:ascii="仿宋_GB2312" w:hAnsi="仿宋_GB2312" w:eastAsia="仿宋_GB2312"/>
          <w:b w:val="0"/>
          <w:sz w:val="32"/>
          <w:lang w:val="en-US" w:eastAsia="zh-CN"/>
        </w:rPr>
        <w:t>本</w:t>
      </w:r>
      <w:r>
        <w:rPr>
          <w:rFonts w:ascii="仿宋_GB2312" w:hAnsi="仿宋_GB2312" w:eastAsia="仿宋_GB2312"/>
          <w:b w:val="0"/>
          <w:sz w:val="32"/>
        </w:rPr>
        <w:t>科目列支，经费较上年增加。</w:t>
      </w:r>
    </w:p>
    <w:p w14:paraId="3AEB3498">
      <w:pPr>
        <w:spacing w:line="580" w:lineRule="exact"/>
        <w:ind w:firstLine="640"/>
        <w:jc w:val="both"/>
      </w:pPr>
      <w:r>
        <w:rPr>
          <w:rFonts w:ascii="仿宋_GB2312" w:hAnsi="仿宋_GB2312" w:eastAsia="仿宋_GB2312"/>
          <w:b w:val="0"/>
          <w:sz w:val="32"/>
        </w:rPr>
        <w:t>5.一般公共服务支出(类)统计信息事务(款)统计抽样调查(项):支出决算数为1.73万元，比上年决算减少1.80万元，下降50.99%,主要原因是：本年减少统计抽样调查印刷费。</w:t>
      </w:r>
    </w:p>
    <w:p w14:paraId="1F5FA306">
      <w:pPr>
        <w:spacing w:line="580" w:lineRule="exact"/>
        <w:ind w:firstLine="640"/>
        <w:jc w:val="both"/>
      </w:pPr>
      <w:r>
        <w:rPr>
          <w:rFonts w:ascii="仿宋_GB2312" w:hAnsi="仿宋_GB2312" w:eastAsia="仿宋_GB2312"/>
          <w:b w:val="0"/>
          <w:sz w:val="32"/>
        </w:rPr>
        <w:t>6.一般公共服务支出(类)统计信息事务(款)事业运行(项):支出决算数为82.09万元，比上年决算增加25.57万元，增长45.24%,主要原因是：（1）本年在职人员工资调增，导致相关人员经费较上年有所增加。（2）本年新增在职人员，人员经费增加，导致经费较上年有所增加。</w:t>
      </w:r>
    </w:p>
    <w:p w14:paraId="1F46A63E">
      <w:pPr>
        <w:spacing w:line="580" w:lineRule="exact"/>
        <w:ind w:firstLine="640"/>
        <w:jc w:val="both"/>
      </w:pPr>
      <w:r>
        <w:rPr>
          <w:rFonts w:ascii="仿宋_GB2312" w:hAnsi="仿宋_GB2312" w:eastAsia="仿宋_GB2312"/>
          <w:b w:val="0"/>
          <w:sz w:val="32"/>
        </w:rPr>
        <w:t>7.科学技术支出(类)科技条件与服务(款)其他科技条件与服务支出(项):支出决算数为1.20万元，比上年决算增加1.20万元，增长100.00%,主要原因是：2024年度因国产替代化工作安排，增加购买国产化电脑经费，经费支出较上年增加。</w:t>
      </w:r>
    </w:p>
    <w:p w14:paraId="0C6BF760">
      <w:pPr>
        <w:spacing w:line="580" w:lineRule="exact"/>
        <w:ind w:firstLine="640"/>
        <w:jc w:val="both"/>
      </w:pPr>
      <w:r>
        <w:rPr>
          <w:rFonts w:ascii="仿宋_GB2312" w:hAnsi="仿宋_GB2312" w:eastAsia="仿宋_GB2312"/>
          <w:b w:val="0"/>
          <w:sz w:val="32"/>
        </w:rPr>
        <w:t>8.社会保障和就业支出(类)行政事业单位养老支出(款)行政单位离退休(项):支出决算数为6.63万元，比上年决算增加3.98万元，增长150.19%,主要原因是：本年增加退休人员基础绩效奖，退休费支出增加。</w:t>
      </w:r>
    </w:p>
    <w:p w14:paraId="363D6724">
      <w:pPr>
        <w:spacing w:line="580" w:lineRule="exact"/>
        <w:ind w:firstLine="640"/>
        <w:jc w:val="both"/>
      </w:pPr>
      <w:r>
        <w:rPr>
          <w:rFonts w:ascii="仿宋_GB2312" w:hAnsi="仿宋_GB2312" w:eastAsia="仿宋_GB2312"/>
          <w:b w:val="0"/>
          <w:sz w:val="32"/>
        </w:rPr>
        <w:t>9.社会保障和就业支出(类)行政事业单位养老支出(款)机关事业单位基本养老保险缴费支出(项):支出决算数为23.95万元，比上年决算增加5.40万元，增长29.11%,主要原因是：（1）本年在职人员工资基数调增，养老缴费基数上涨，相应支出增加。（2）本年在职人员增加，养老保险缴费较上年增加。</w:t>
      </w:r>
    </w:p>
    <w:p w14:paraId="62256807">
      <w:pPr>
        <w:spacing w:line="580" w:lineRule="exact"/>
        <w:ind w:firstLine="640"/>
        <w:jc w:val="both"/>
      </w:pPr>
      <w:r>
        <w:rPr>
          <w:rFonts w:ascii="仿宋_GB2312" w:hAnsi="仿宋_GB2312" w:eastAsia="仿宋_GB2312"/>
          <w:b w:val="0"/>
          <w:sz w:val="32"/>
        </w:rPr>
        <w:t>10.社会保障和就业支出(类)行政事业单位养老支出(款)机关事业单位职业年金缴费支出(项):支出决算数为12.27万元，比上年决算增加3.10万元，增长33.81%,主要原因是：（1）本年在职人员工资基数调增，职业年金缴费基数上涨，相应支出增加。（2）本年在职人员增加，职业年金缴费较上年增加。</w:t>
      </w:r>
    </w:p>
    <w:p w14:paraId="6BA1D7FF">
      <w:pPr>
        <w:spacing w:line="580" w:lineRule="exact"/>
        <w:ind w:firstLine="640"/>
        <w:jc w:val="both"/>
      </w:pPr>
      <w:r>
        <w:rPr>
          <w:rFonts w:ascii="仿宋_GB2312" w:hAnsi="仿宋_GB2312" w:eastAsia="仿宋_GB2312"/>
          <w:b w:val="0"/>
          <w:sz w:val="32"/>
        </w:rPr>
        <w:t>11.卫生健康支出(类)行政事业单位医疗(款)行政单位医疗(项):支出决算数为7.51万元，比上年决算减少5.44万元，下降42.01%,主要原因是：本年部分医疗保险由行政单位医疗科目调整至事业单位医疗科目，经费较上年减少；在职人员调入调出，人员职级不同，缴费基数不同，导致行政单位医疗较上年减少。</w:t>
      </w:r>
    </w:p>
    <w:p w14:paraId="7AAFD3D5">
      <w:pPr>
        <w:spacing w:line="580" w:lineRule="exact"/>
        <w:ind w:firstLine="640"/>
        <w:jc w:val="both"/>
      </w:pPr>
      <w:r>
        <w:rPr>
          <w:rFonts w:ascii="仿宋_GB2312" w:hAnsi="仿宋_GB2312" w:eastAsia="仿宋_GB2312"/>
          <w:b w:val="0"/>
          <w:sz w:val="32"/>
        </w:rPr>
        <w:t>12.卫生健康支出(类)行政事业单位医疗(款)事业单位医疗(项):支出决算数为4.50万元，比上年决算增加3.33万元，增长284.62%,主要原因是：本年部分医疗保险由行政单位医疗科目调整至事业单位医疗科目，经费较上年增加。</w:t>
      </w:r>
    </w:p>
    <w:p w14:paraId="793060C9">
      <w:pPr>
        <w:spacing w:line="580" w:lineRule="exact"/>
        <w:ind w:firstLine="640"/>
        <w:jc w:val="both"/>
      </w:pPr>
      <w:r>
        <w:rPr>
          <w:rFonts w:ascii="仿宋_GB2312" w:hAnsi="仿宋_GB2312" w:eastAsia="仿宋_GB2312"/>
          <w:b w:val="0"/>
          <w:sz w:val="32"/>
        </w:rPr>
        <w:t>13.卫生健康支出(类)行政事业单位医疗(款)公务员医疗补助(项):支出决算数为0.73万元，比上年决算减少0.52万元，下降41.60%,主要原因是：（1）因退休人员医疗保险制度改革，退休人员</w:t>
      </w:r>
      <w:r>
        <w:rPr>
          <w:rFonts w:hint="eastAsia" w:ascii="仿宋_GB2312" w:hAnsi="仿宋_GB2312" w:eastAsia="仿宋_GB2312"/>
          <w:b w:val="0"/>
          <w:sz w:val="32"/>
          <w:lang w:val="en-US" w:eastAsia="zh-CN"/>
        </w:rPr>
        <w:t>公务员</w:t>
      </w:r>
      <w:r>
        <w:rPr>
          <w:rFonts w:ascii="仿宋_GB2312" w:hAnsi="仿宋_GB2312" w:eastAsia="仿宋_GB2312"/>
          <w:b w:val="0"/>
          <w:sz w:val="32"/>
        </w:rPr>
        <w:t>医疗</w:t>
      </w:r>
      <w:r>
        <w:rPr>
          <w:rFonts w:hint="eastAsia" w:ascii="仿宋_GB2312" w:hAnsi="仿宋_GB2312" w:eastAsia="仿宋_GB2312"/>
          <w:b w:val="0"/>
          <w:sz w:val="32"/>
          <w:lang w:val="en-US" w:eastAsia="zh-CN"/>
        </w:rPr>
        <w:t>补助</w:t>
      </w:r>
      <w:r>
        <w:rPr>
          <w:rFonts w:ascii="仿宋_GB2312" w:hAnsi="仿宋_GB2312" w:eastAsia="仿宋_GB2312"/>
          <w:b w:val="0"/>
          <w:sz w:val="32"/>
        </w:rPr>
        <w:t>不再由单位缴纳，导致经费较上年减少。（2）本年在职人员调入调出，人员职级不同，缴费基数不同，导致公务员医疗补助较上年减少。</w:t>
      </w:r>
    </w:p>
    <w:p w14:paraId="16901910">
      <w:pPr>
        <w:spacing w:line="580" w:lineRule="exact"/>
        <w:ind w:firstLine="640"/>
        <w:jc w:val="both"/>
      </w:pPr>
      <w:r>
        <w:rPr>
          <w:rFonts w:ascii="仿宋_GB2312" w:hAnsi="仿宋_GB2312" w:eastAsia="仿宋_GB2312"/>
          <w:b w:val="0"/>
          <w:sz w:val="32"/>
        </w:rPr>
        <w:t>14.住房保障支出(类)住房改革支出(款)住房公积金(项):支出决算数为19.47万元，比上年决算增加4.77万元，增长32.45%,主要原因是：（1）本年在职人员工资基数调增，公积金缴费基数上涨，相应支出增加。（2）本年在职人员增加，住房公积金支出较上年增加。</w:t>
      </w:r>
    </w:p>
    <w:p w14:paraId="580866B9">
      <w:pPr>
        <w:spacing w:line="640" w:lineRule="exact"/>
        <w:ind w:firstLine="640"/>
        <w:jc w:val="both"/>
        <w:outlineLvl w:val="2"/>
      </w:pPr>
      <w:r>
        <w:rPr>
          <w:rFonts w:ascii="黑体" w:hAnsi="黑体" w:eastAsia="黑体"/>
          <w:sz w:val="32"/>
        </w:rPr>
        <w:t>六、一般公共预算财政拨款基本支出决算情况说明</w:t>
      </w:r>
    </w:p>
    <w:p w14:paraId="5FC5410B">
      <w:pPr>
        <w:spacing w:line="580" w:lineRule="exact"/>
        <w:ind w:firstLine="640"/>
        <w:jc w:val="both"/>
      </w:pPr>
      <w:r>
        <w:rPr>
          <w:rFonts w:ascii="仿宋_GB2312" w:hAnsi="仿宋_GB2312" w:eastAsia="仿宋_GB2312"/>
          <w:b w:val="0"/>
          <w:sz w:val="32"/>
        </w:rPr>
        <w:t>2024年度一般公共预算财政拨款基本支出399.95万元，其中：</w:t>
      </w:r>
      <w:r>
        <w:rPr>
          <w:rFonts w:ascii="仿宋_GB2312" w:hAnsi="仿宋_GB2312" w:eastAsia="仿宋_GB2312"/>
          <w:b/>
          <w:sz w:val="32"/>
        </w:rPr>
        <w:t>人员经费280.81万元，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4DCD39EA">
      <w:pPr>
        <w:spacing w:line="580" w:lineRule="exact"/>
        <w:ind w:firstLine="640"/>
        <w:jc w:val="both"/>
      </w:pPr>
      <w:r>
        <w:rPr>
          <w:rFonts w:ascii="仿宋_GB2312" w:hAnsi="仿宋_GB2312" w:eastAsia="仿宋_GB2312"/>
          <w:b/>
          <w:sz w:val="32"/>
        </w:rPr>
        <w:t>公用经费119.13万元，</w:t>
      </w:r>
      <w:r>
        <w:rPr>
          <w:rFonts w:ascii="仿宋_GB2312" w:hAnsi="仿宋_GB2312" w:eastAsia="仿宋_GB2312"/>
          <w:b w:val="0"/>
          <w:sz w:val="32"/>
        </w:rPr>
        <w:t>包括：办公费、印刷费、劳务费、工会经费、公务用车运行维护费、其他商品和服务支出、专用设备购置。</w:t>
      </w:r>
    </w:p>
    <w:p w14:paraId="5E3C8C83">
      <w:pPr>
        <w:spacing w:line="640" w:lineRule="exact"/>
        <w:ind w:firstLine="640"/>
        <w:jc w:val="both"/>
        <w:outlineLvl w:val="2"/>
      </w:pPr>
      <w:r>
        <w:rPr>
          <w:rFonts w:ascii="黑体" w:hAnsi="黑体" w:eastAsia="黑体"/>
          <w:sz w:val="32"/>
        </w:rPr>
        <w:t>七、政府性基金预算财政拨款收入支出决算情况说明</w:t>
      </w:r>
    </w:p>
    <w:p w14:paraId="04118336">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A541AA7">
      <w:pPr>
        <w:spacing w:line="640" w:lineRule="exact"/>
        <w:ind w:firstLine="640"/>
        <w:jc w:val="both"/>
        <w:outlineLvl w:val="2"/>
      </w:pPr>
      <w:r>
        <w:rPr>
          <w:rFonts w:ascii="黑体" w:hAnsi="黑体" w:eastAsia="黑体"/>
          <w:sz w:val="32"/>
        </w:rPr>
        <w:t>八、国有资本经营预算财政拨款收入支出决算情况说明</w:t>
      </w:r>
    </w:p>
    <w:p w14:paraId="4F48392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73A6235">
      <w:pPr>
        <w:spacing w:line="640" w:lineRule="exact"/>
        <w:ind w:firstLine="640"/>
        <w:jc w:val="both"/>
        <w:outlineLvl w:val="2"/>
      </w:pPr>
      <w:r>
        <w:rPr>
          <w:rFonts w:ascii="黑体" w:hAnsi="黑体" w:eastAsia="黑体"/>
          <w:sz w:val="32"/>
        </w:rPr>
        <w:t>九、财政拨款“三公”经费支出决算情况说明</w:t>
      </w:r>
    </w:p>
    <w:p w14:paraId="37EA893E">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0.24万元，增长13.64%，主要原因是：（1）本单位公务用车日渐老化，维修维护成本增加，导致公务用车运行维护费较上年增加。（2）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2.00万元，占100.00%，比上年增加0.24万元，增长13.64%，主要原因是：（1）本单位公务用车日渐老化，维修维护成本增加，导致公务用车运行维护费较上年增加。（2）本年因业务需求，用车次数增加，燃油费增加，导致公务用车运行维护费较上年增加。公务接待费支出0.00万元，占0.00%，比上年增加0.00万元，增长0.00%，主要原因是：2023年与2024年均未安排公务接待费支出。</w:t>
      </w:r>
    </w:p>
    <w:p w14:paraId="24796226">
      <w:pPr>
        <w:spacing w:line="580" w:lineRule="exact"/>
        <w:ind w:firstLine="640"/>
        <w:jc w:val="both"/>
      </w:pPr>
      <w:r>
        <w:rPr>
          <w:rFonts w:ascii="仿宋_GB2312" w:hAnsi="仿宋_GB2312" w:eastAsia="仿宋_GB2312"/>
          <w:b/>
          <w:sz w:val="32"/>
        </w:rPr>
        <w:t>具体情况如下：</w:t>
      </w:r>
    </w:p>
    <w:p w14:paraId="5677F20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BFC253C">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7248796B">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3966262">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47FD1494">
      <w:pPr>
        <w:spacing w:line="640" w:lineRule="exact"/>
        <w:ind w:firstLine="640"/>
        <w:jc w:val="both"/>
        <w:outlineLvl w:val="2"/>
      </w:pPr>
      <w:r>
        <w:rPr>
          <w:rFonts w:ascii="黑体" w:hAnsi="黑体" w:eastAsia="黑体"/>
          <w:sz w:val="32"/>
        </w:rPr>
        <w:t>十、其他重要事项的情况说明</w:t>
      </w:r>
    </w:p>
    <w:p w14:paraId="4FB97621">
      <w:pPr>
        <w:spacing w:line="640" w:lineRule="exact"/>
        <w:ind w:firstLine="640"/>
        <w:jc w:val="both"/>
        <w:outlineLvl w:val="3"/>
      </w:pPr>
      <w:r>
        <w:rPr>
          <w:rFonts w:ascii="楷体_GB2312" w:hAnsi="楷体_GB2312" w:eastAsia="楷体_GB2312"/>
          <w:b/>
          <w:sz w:val="32"/>
        </w:rPr>
        <w:t>（一）机关运行经费及公用经费支出情况</w:t>
      </w:r>
    </w:p>
    <w:p w14:paraId="35876BDB">
      <w:pPr>
        <w:spacing w:line="580" w:lineRule="exact"/>
        <w:ind w:firstLine="640"/>
        <w:jc w:val="both"/>
      </w:pPr>
      <w:r>
        <w:rPr>
          <w:rFonts w:ascii="仿宋_GB2312" w:hAnsi="仿宋_GB2312" w:eastAsia="仿宋_GB2312"/>
          <w:b w:val="0"/>
          <w:sz w:val="32"/>
        </w:rPr>
        <w:t>2024年度吉木萨尔县统计局（行政单位和参照公务员法管理事业单位）机关运行经费支出119.13万元，比上年增加16.91万元，增长16.54%，主要原因是：1.本年更新、维护补充办公用品，打印耗材费用较高，导致机关运行经费较上年增加。2.本年业务工作增加，开展了烟草、科学素质、人口抽样等各类专项调查，导致</w:t>
      </w:r>
      <w:r>
        <w:rPr>
          <w:rFonts w:hint="eastAsia" w:ascii="仿宋_GB2312" w:hAnsi="仿宋_GB2312" w:eastAsia="仿宋_GB2312"/>
          <w:b w:val="0"/>
          <w:sz w:val="32"/>
          <w:lang w:val="en-US" w:eastAsia="zh-CN"/>
        </w:rPr>
        <w:t>运行</w:t>
      </w:r>
      <w:r>
        <w:rPr>
          <w:rFonts w:ascii="仿宋_GB2312" w:hAnsi="仿宋_GB2312" w:eastAsia="仿宋_GB2312"/>
          <w:b w:val="0"/>
          <w:sz w:val="32"/>
        </w:rPr>
        <w:t>经费增加。3.本年在职人员增加，办公费用增加。</w:t>
      </w:r>
    </w:p>
    <w:p w14:paraId="57536DD4">
      <w:pPr>
        <w:spacing w:line="640" w:lineRule="exact"/>
        <w:ind w:firstLine="640"/>
        <w:jc w:val="both"/>
        <w:outlineLvl w:val="3"/>
      </w:pPr>
      <w:r>
        <w:rPr>
          <w:rFonts w:ascii="楷体_GB2312" w:hAnsi="楷体_GB2312" w:eastAsia="楷体_GB2312"/>
          <w:b/>
          <w:sz w:val="32"/>
        </w:rPr>
        <w:t>（二）政府采购情况</w:t>
      </w:r>
    </w:p>
    <w:p w14:paraId="058DC088">
      <w:pPr>
        <w:spacing w:line="580" w:lineRule="exact"/>
        <w:ind w:firstLine="640"/>
        <w:jc w:val="both"/>
      </w:pPr>
      <w:r>
        <w:rPr>
          <w:rFonts w:ascii="仿宋_GB2312" w:hAnsi="仿宋_GB2312" w:eastAsia="仿宋_GB2312"/>
          <w:b w:val="0"/>
          <w:sz w:val="32"/>
        </w:rPr>
        <w:t>2024年度政府采购支出总额6.12万元，其中：政府采购货物支出4.14万元、政府采购工程支出0.00万元、政府采购服务支出1.98万元。</w:t>
      </w:r>
    </w:p>
    <w:p w14:paraId="65054DCF">
      <w:pPr>
        <w:spacing w:line="580" w:lineRule="exact"/>
        <w:ind w:firstLine="640"/>
        <w:jc w:val="both"/>
      </w:pPr>
      <w:r>
        <w:rPr>
          <w:rFonts w:ascii="仿宋_GB2312" w:hAnsi="仿宋_GB2312" w:eastAsia="仿宋_GB2312"/>
          <w:b w:val="0"/>
          <w:sz w:val="32"/>
        </w:rPr>
        <w:t>授予中小企业合同金额6.12万元，占政府采购支出总额的100.00%，其中：授予小微企业合同金额6.12万元，占政府采购支出总额的100.00%。</w:t>
      </w:r>
    </w:p>
    <w:p w14:paraId="146528DC">
      <w:pPr>
        <w:spacing w:line="640" w:lineRule="exact"/>
        <w:ind w:firstLine="640"/>
        <w:jc w:val="both"/>
        <w:outlineLvl w:val="3"/>
      </w:pPr>
      <w:r>
        <w:rPr>
          <w:rFonts w:ascii="楷体_GB2312" w:hAnsi="楷体_GB2312" w:eastAsia="楷体_GB2312"/>
          <w:b/>
          <w:sz w:val="32"/>
        </w:rPr>
        <w:t>（三）国有资产占用情况说明</w:t>
      </w:r>
    </w:p>
    <w:p w14:paraId="475A7105">
      <w:pPr>
        <w:spacing w:line="580" w:lineRule="exact"/>
        <w:ind w:firstLine="640"/>
        <w:jc w:val="both"/>
      </w:pPr>
      <w:r>
        <w:rPr>
          <w:rFonts w:ascii="仿宋_GB2312" w:hAnsi="仿宋_GB2312" w:eastAsia="仿宋_GB2312"/>
          <w:b w:val="0"/>
          <w:sz w:val="32"/>
        </w:rPr>
        <w:t>截至2024年12月31日，房屋0.00平方米，价值0.00万元。车辆1辆，价值16.43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1385C6C">
      <w:pPr>
        <w:spacing w:line="640" w:lineRule="exact"/>
        <w:ind w:firstLine="640"/>
        <w:jc w:val="both"/>
        <w:outlineLvl w:val="2"/>
      </w:pPr>
      <w:r>
        <w:rPr>
          <w:rFonts w:ascii="黑体" w:hAnsi="黑体" w:eastAsia="黑体"/>
          <w:sz w:val="32"/>
        </w:rPr>
        <w:t>十一、预算绩效的情况说明</w:t>
      </w:r>
    </w:p>
    <w:p w14:paraId="407D869C">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423.03万元，实际执行总额423.03万元；预算绩效评价项目2个，全年预算数90.92万元，全年执行数90.92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z w:val="32"/>
          <w:lang w:eastAsia="zh-CN"/>
        </w:rPr>
        <w:t>取得</w:t>
      </w:r>
      <w:r>
        <w:rPr>
          <w:rFonts w:ascii="仿宋_GB2312" w:hAnsi="仿宋_GB2312" w:eastAsia="仿宋_GB2312"/>
          <w:b w:val="0"/>
          <w:sz w:val="32"/>
        </w:rPr>
        <w:t>成效，科学制定目标，促进绩效目标顺利实现。二是自落实预算绩效管理工作以来，本单位在项目资金的使用上都有了更明确、更清晰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加强财政资金使用效益</w:t>
      </w:r>
      <w:bookmarkStart w:id="0" w:name="_GoBack"/>
      <w:r>
        <w:rPr>
          <w:rFonts w:ascii="仿宋_GB2312" w:hAnsi="仿宋_GB2312" w:eastAsia="仿宋_GB2312"/>
          <w:b w:val="0"/>
          <w:sz w:val="32"/>
        </w:rPr>
        <w:t>跟踪</w:t>
      </w:r>
      <w:bookmarkEnd w:id="0"/>
      <w:r>
        <w:rPr>
          <w:rFonts w:ascii="仿宋_GB2312" w:hAnsi="仿宋_GB2312" w:eastAsia="仿宋_GB2312"/>
          <w:b w:val="0"/>
          <w:sz w:val="32"/>
        </w:rPr>
        <w:t>“回头看”</w:t>
      </w:r>
      <w:r>
        <w:rPr>
          <w:rFonts w:hint="eastAsia" w:ascii="仿宋_GB2312" w:hAnsi="仿宋_GB2312" w:eastAsia="仿宋_GB2312"/>
          <w:b w:val="0"/>
          <w:sz w:val="32"/>
          <w:lang w:eastAsia="zh-CN"/>
        </w:rPr>
        <w:t>，针</w:t>
      </w:r>
      <w:r>
        <w:rPr>
          <w:rFonts w:ascii="仿宋_GB2312" w:hAnsi="仿宋_GB2312" w:eastAsia="仿宋_GB2312"/>
          <w:b w:val="0"/>
          <w:sz w:val="32"/>
        </w:rPr>
        <w:t>对资金绩效运行状况，及时预控、查找资金使用和管理过程中的薄弱环节</w:t>
      </w:r>
      <w:r>
        <w:rPr>
          <w:rFonts w:hint="eastAsia" w:ascii="仿宋_GB2312" w:hAnsi="仿宋_GB2312" w:eastAsia="仿宋_GB2312"/>
          <w:b w:val="0"/>
          <w:sz w:val="32"/>
          <w:lang w:eastAsia="zh-CN"/>
        </w:rPr>
        <w:t>，为</w:t>
      </w:r>
      <w:r>
        <w:rPr>
          <w:rFonts w:ascii="仿宋_GB2312" w:hAnsi="仿宋_GB2312" w:eastAsia="仿宋_GB2312"/>
          <w:b w:val="0"/>
          <w:sz w:val="32"/>
        </w:rPr>
        <w:t>加快资金拨付进度</w:t>
      </w:r>
      <w:r>
        <w:rPr>
          <w:rFonts w:hint="eastAsia" w:ascii="仿宋_GB2312" w:hAnsi="仿宋_GB2312" w:eastAsia="仿宋_GB2312"/>
          <w:b w:val="0"/>
          <w:sz w:val="32"/>
          <w:lang w:eastAsia="zh-CN"/>
        </w:rPr>
        <w:t>，为</w:t>
      </w:r>
      <w:r>
        <w:rPr>
          <w:rFonts w:ascii="仿宋_GB2312" w:hAnsi="仿宋_GB2312" w:eastAsia="仿宋_GB2312"/>
          <w:b w:val="0"/>
          <w:sz w:val="32"/>
        </w:rPr>
        <w:t>确保后续绩效目标的有效实现提供有力支撑。具体附整体支出绩效自评表，项目支出绩效自评表。</w:t>
      </w:r>
    </w:p>
    <w:p w14:paraId="025D93E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D6E3B20">
        <w:tblPrEx>
          <w:tblCellMar>
            <w:top w:w="0" w:type="dxa"/>
            <w:left w:w="108" w:type="dxa"/>
            <w:bottom w:w="0" w:type="dxa"/>
            <w:right w:w="108" w:type="dxa"/>
          </w:tblCellMar>
        </w:tblPrEx>
        <w:tc>
          <w:tcPr>
            <w:tcW w:w="8847" w:type="dxa"/>
            <w:gridSpan w:val="9"/>
            <w:vAlign w:val="center"/>
          </w:tcPr>
          <w:p w14:paraId="129990EA">
            <w:pPr>
              <w:jc w:val="center"/>
            </w:pPr>
            <w:r>
              <w:rPr>
                <w:rFonts w:ascii="宋体" w:hAnsi="宋体" w:eastAsia="宋体"/>
                <w:sz w:val="24"/>
              </w:rPr>
              <w:t>单位整体支出绩效自评表</w:t>
            </w:r>
          </w:p>
        </w:tc>
      </w:tr>
      <w:tr w14:paraId="0F4917BB">
        <w:tblPrEx>
          <w:tblCellMar>
            <w:top w:w="0" w:type="dxa"/>
            <w:left w:w="108" w:type="dxa"/>
            <w:bottom w:w="0" w:type="dxa"/>
            <w:right w:w="108" w:type="dxa"/>
          </w:tblCellMar>
        </w:tblPrEx>
        <w:tc>
          <w:tcPr>
            <w:tcW w:w="8847" w:type="dxa"/>
            <w:gridSpan w:val="9"/>
            <w:vAlign w:val="center"/>
          </w:tcPr>
          <w:p w14:paraId="6D6342DF">
            <w:pPr>
              <w:jc w:val="center"/>
            </w:pPr>
            <w:r>
              <w:rPr>
                <w:rFonts w:ascii="宋体" w:hAnsi="宋体" w:eastAsia="宋体"/>
                <w:sz w:val="24"/>
              </w:rPr>
              <w:t>（2024年度）</w:t>
            </w:r>
          </w:p>
        </w:tc>
      </w:tr>
      <w:tr w14:paraId="5032D8F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71142">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0676A51">
            <w:pPr>
              <w:jc w:val="center"/>
            </w:pPr>
            <w:r>
              <w:rPr>
                <w:rFonts w:ascii="宋体" w:hAnsi="宋体" w:eastAsia="宋体"/>
                <w:sz w:val="16"/>
              </w:rPr>
              <w:t>吉木萨尔县统计局</w:t>
            </w:r>
          </w:p>
        </w:tc>
      </w:tr>
      <w:tr w14:paraId="5FF17F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2D6AF">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3D3E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301CD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080B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E138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7DF0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E437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1E5C9">
            <w:pPr>
              <w:jc w:val="center"/>
            </w:pPr>
            <w:r>
              <w:rPr>
                <w:rFonts w:ascii="宋体" w:hAnsi="宋体" w:eastAsia="宋体"/>
                <w:sz w:val="16"/>
              </w:rPr>
              <w:t>得分</w:t>
            </w:r>
          </w:p>
        </w:tc>
      </w:tr>
      <w:tr w14:paraId="72286E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5B2A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2E4CB">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E84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5F1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9E98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F376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492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544AE">
            <w:pPr>
              <w:jc w:val="center"/>
            </w:pPr>
            <w:r>
              <w:rPr>
                <w:rFonts w:ascii="宋体" w:hAnsi="宋体" w:eastAsia="宋体"/>
                <w:sz w:val="16"/>
              </w:rPr>
              <w:t>-</w:t>
            </w:r>
          </w:p>
        </w:tc>
      </w:tr>
      <w:tr w14:paraId="7F4E9A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133E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BA4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88AB7">
            <w:pPr>
              <w:jc w:val="center"/>
            </w:pPr>
            <w:r>
              <w:rPr>
                <w:rFonts w:ascii="宋体" w:hAnsi="宋体" w:eastAsia="宋体"/>
                <w:sz w:val="16"/>
              </w:rPr>
              <w:t>265.67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929D8">
            <w:pPr>
              <w:jc w:val="center"/>
            </w:pPr>
            <w:r>
              <w:rPr>
                <w:rFonts w:ascii="宋体" w:hAnsi="宋体" w:eastAsia="宋体"/>
                <w:sz w:val="16"/>
              </w:rPr>
              <w:t>423.03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907BD">
            <w:pPr>
              <w:jc w:val="center"/>
            </w:pPr>
            <w:r>
              <w:rPr>
                <w:rFonts w:ascii="宋体" w:hAnsi="宋体" w:eastAsia="宋体"/>
                <w:sz w:val="16"/>
              </w:rPr>
              <w:t>423.03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5D4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CE2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02F7A">
            <w:pPr>
              <w:jc w:val="center"/>
            </w:pPr>
            <w:r>
              <w:rPr>
                <w:rFonts w:ascii="宋体" w:hAnsi="宋体" w:eastAsia="宋体"/>
                <w:sz w:val="16"/>
              </w:rPr>
              <w:t>-</w:t>
            </w:r>
          </w:p>
        </w:tc>
      </w:tr>
      <w:tr w14:paraId="09BAEB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F83E3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D98A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80B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448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1ED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4B7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8439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4C281">
            <w:pPr>
              <w:jc w:val="center"/>
            </w:pPr>
            <w:r>
              <w:rPr>
                <w:rFonts w:ascii="宋体" w:hAnsi="宋体" w:eastAsia="宋体"/>
                <w:sz w:val="16"/>
              </w:rPr>
              <w:t>-</w:t>
            </w:r>
          </w:p>
        </w:tc>
      </w:tr>
      <w:tr w14:paraId="7D32F4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ACD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32C5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A2E17">
            <w:pPr>
              <w:jc w:val="center"/>
            </w:pPr>
            <w:r>
              <w:rPr>
                <w:rFonts w:ascii="宋体" w:hAnsi="宋体" w:eastAsia="宋体"/>
                <w:sz w:val="16"/>
              </w:rPr>
              <w:t>265.67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D8DB0">
            <w:pPr>
              <w:jc w:val="center"/>
            </w:pPr>
            <w:r>
              <w:rPr>
                <w:rFonts w:ascii="宋体" w:hAnsi="宋体" w:eastAsia="宋体"/>
                <w:sz w:val="16"/>
              </w:rPr>
              <w:t>423.03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897A8">
            <w:pPr>
              <w:jc w:val="center"/>
            </w:pPr>
            <w:r>
              <w:rPr>
                <w:rFonts w:ascii="宋体" w:hAnsi="宋体" w:eastAsia="宋体"/>
                <w:sz w:val="16"/>
              </w:rPr>
              <w:t>423.03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4C6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B0B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7D921">
            <w:pPr>
              <w:jc w:val="center"/>
            </w:pPr>
            <w:r>
              <w:rPr>
                <w:rFonts w:ascii="宋体" w:hAnsi="宋体" w:eastAsia="宋体"/>
                <w:sz w:val="16"/>
              </w:rPr>
              <w:t>10</w:t>
            </w:r>
          </w:p>
        </w:tc>
      </w:tr>
      <w:tr w14:paraId="3723C7D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A2919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BBFC06">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2D8FB4">
            <w:pPr>
              <w:jc w:val="center"/>
            </w:pPr>
            <w:r>
              <w:rPr>
                <w:rFonts w:ascii="宋体" w:hAnsi="宋体" w:eastAsia="宋体"/>
                <w:sz w:val="16"/>
              </w:rPr>
              <w:t>实际完成情况</w:t>
            </w:r>
          </w:p>
        </w:tc>
      </w:tr>
      <w:tr w14:paraId="5C80A4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D650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769D09">
            <w:pPr>
              <w:jc w:val="both"/>
            </w:pPr>
            <w:r>
              <w:rPr>
                <w:rFonts w:ascii="宋体" w:hAnsi="宋体" w:eastAsia="宋体"/>
                <w:sz w:val="16"/>
              </w:rPr>
              <w:t>负责对全县三次产业经济发展情况数据进行汇总、审核、上报和分析，完成农业、工业、固定资产投资、建筑业、批发零售住宿餐饮业、能源统计等专业统计工作，同时做好重大国情国力调查、专项调查（劳动力调查、住户调查、人口抽样调查）等工作任务，保障单位在职人员和退休人员、编外人员的工资、奖金、绩效、社会保险缴费、住房公积金正常发放和缴纳，稳定干部职工队伍；二.确保</w:t>
            </w:r>
            <w:r>
              <w:rPr>
                <w:rFonts w:hint="eastAsia" w:ascii="宋体" w:hAnsi="宋体"/>
                <w:sz w:val="16"/>
                <w:lang w:eastAsia="zh-CN"/>
              </w:rPr>
              <w:t>本单位</w:t>
            </w:r>
            <w:r>
              <w:rPr>
                <w:rFonts w:ascii="宋体" w:hAnsi="宋体" w:eastAsia="宋体"/>
                <w:sz w:val="16"/>
              </w:rPr>
              <w:t>日常工作运行，其中包含办公费、邮电费、差旅费、公务用车运行费、工会经费、劳务费等，使</w:t>
            </w:r>
            <w:r>
              <w:rPr>
                <w:rFonts w:hint="eastAsia" w:ascii="宋体" w:hAnsi="宋体"/>
                <w:sz w:val="16"/>
                <w:lang w:eastAsia="zh-CN"/>
              </w:rPr>
              <w:t>本单位</w:t>
            </w:r>
            <w:r>
              <w:rPr>
                <w:rFonts w:ascii="宋体" w:hAnsi="宋体" w:eastAsia="宋体"/>
                <w:sz w:val="16"/>
              </w:rPr>
              <w:t>各项业务正常开展。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23E28D">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全年预算数为423.03万元，全年执行数为423.03万元,预算执行率为100%，</w:t>
            </w:r>
            <w:r>
              <w:rPr>
                <w:rFonts w:hint="eastAsia" w:ascii="宋体" w:hAnsi="宋体"/>
                <w:sz w:val="16"/>
                <w:lang w:eastAsia="zh-CN"/>
              </w:rPr>
              <w:t>本单位</w:t>
            </w:r>
            <w:r>
              <w:rPr>
                <w:rFonts w:ascii="宋体" w:hAnsi="宋体" w:eastAsia="宋体"/>
                <w:sz w:val="16"/>
              </w:rPr>
              <w:t>完成以下内容：完成对全县三次产业经济发展情况数据进行汇总、审核、上报和分析，完成农业、工业、固定资产投资、建筑业、批发零售住宿餐饮业、能源统计等专业统计工作，同时做好重大国情国力调查、专项调查（劳动力调查、住户调查、人口抽样调查）等工作任务，保障单位在职人员和退休人员、编外人员的工资、奖金、绩效、社会保险缴费、住房公积金正常发放和缴纳，稳定干部职工队伍；二.确保</w:t>
            </w:r>
            <w:r>
              <w:rPr>
                <w:rFonts w:hint="eastAsia" w:ascii="宋体" w:hAnsi="宋体"/>
                <w:sz w:val="16"/>
                <w:lang w:eastAsia="zh-CN"/>
              </w:rPr>
              <w:t>本单位</w:t>
            </w:r>
            <w:r>
              <w:rPr>
                <w:rFonts w:ascii="宋体" w:hAnsi="宋体" w:eastAsia="宋体"/>
                <w:sz w:val="16"/>
              </w:rPr>
              <w:t>日常工作运行，其中包含办公费、邮电费、差旅费、公务用车运行费、工会经费、劳务费等，使</w:t>
            </w:r>
            <w:r>
              <w:rPr>
                <w:rFonts w:hint="eastAsia" w:ascii="宋体" w:hAnsi="宋体"/>
                <w:sz w:val="16"/>
                <w:lang w:eastAsia="zh-CN"/>
              </w:rPr>
              <w:t>本单位</w:t>
            </w:r>
            <w:r>
              <w:rPr>
                <w:rFonts w:ascii="宋体" w:hAnsi="宋体" w:eastAsia="宋体"/>
                <w:sz w:val="16"/>
              </w:rPr>
              <w:t>各项业务正常开展。</w:t>
            </w:r>
          </w:p>
        </w:tc>
      </w:tr>
      <w:tr w14:paraId="2EB1BE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7837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F6E8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74BF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A7A7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45B8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75D6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1BAC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9E86D">
            <w:pPr>
              <w:jc w:val="center"/>
            </w:pPr>
            <w:r>
              <w:rPr>
                <w:rFonts w:ascii="宋体" w:hAnsi="宋体" w:eastAsia="宋体"/>
                <w:sz w:val="16"/>
              </w:rPr>
              <w:t>得分</w:t>
            </w:r>
          </w:p>
        </w:tc>
      </w:tr>
      <w:tr w14:paraId="24BF7B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8F8AF">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0FF5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313B8">
            <w:pPr>
              <w:jc w:val="center"/>
            </w:pPr>
            <w:r>
              <w:rPr>
                <w:rFonts w:ascii="宋体" w:hAnsi="宋体" w:eastAsia="宋体"/>
                <w:sz w:val="16"/>
              </w:rPr>
              <w:t>统计局在职在编人数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74969">
            <w:pPr>
              <w:jc w:val="center"/>
            </w:pPr>
            <w:r>
              <w:rPr>
                <w:rFonts w:ascii="宋体" w:hAnsi="宋体" w:eastAsia="宋体"/>
                <w:sz w:val="16"/>
              </w:rPr>
              <w: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593E7">
            <w:pPr>
              <w:jc w:val="center"/>
            </w:pPr>
            <w:r>
              <w:rPr>
                <w:rFonts w:ascii="宋体" w:hAnsi="宋体" w:eastAsia="宋体"/>
                <w:sz w:val="16"/>
              </w:rPr>
              <w:t>2023年度决算报表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A521C">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8E83B">
            <w:pPr>
              <w:jc w:val="center"/>
            </w:pPr>
            <w:r>
              <w:rPr>
                <w:rFonts w:ascii="宋体" w:hAnsi="宋体" w:eastAsia="宋体"/>
                <w:sz w:val="16"/>
              </w:rPr>
              <w: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0EC5B2">
            <w:pPr>
              <w:jc w:val="center"/>
            </w:pPr>
            <w:r>
              <w:rPr>
                <w:rFonts w:ascii="宋体" w:hAnsi="宋体" w:eastAsia="宋体"/>
                <w:sz w:val="16"/>
              </w:rPr>
              <w:t>13</w:t>
            </w:r>
          </w:p>
        </w:tc>
      </w:tr>
      <w:tr w14:paraId="6BF0383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0EC178">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50EB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393CF">
            <w:pPr>
              <w:jc w:val="center"/>
            </w:pPr>
            <w:r>
              <w:rPr>
                <w:rFonts w:ascii="宋体" w:hAnsi="宋体" w:eastAsia="宋体"/>
                <w:sz w:val="16"/>
              </w:rPr>
              <w:t>开展统计培训次数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6DD29">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ECBF">
            <w:pPr>
              <w:jc w:val="center"/>
            </w:pPr>
            <w:r>
              <w:rPr>
                <w:rFonts w:ascii="宋体" w:hAnsi="宋体" w:eastAsia="宋体"/>
                <w:sz w:val="16"/>
              </w:rPr>
              <w:t>吉木萨尔县统计局2023年工作总结及2024年工作计划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59C7E">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8AD1F">
            <w:pPr>
              <w:jc w:val="center"/>
            </w:pPr>
            <w:r>
              <w:rPr>
                <w:rFonts w:ascii="宋体" w:hAnsi="宋体" w:eastAsia="宋体"/>
                <w:sz w:val="16"/>
              </w:rPr>
              <w:t>=23次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7432F">
            <w:pPr>
              <w:jc w:val="center"/>
            </w:pPr>
            <w:r>
              <w:rPr>
                <w:rFonts w:ascii="宋体" w:hAnsi="宋体" w:eastAsia="宋体"/>
                <w:sz w:val="16"/>
              </w:rPr>
              <w:t>17</w:t>
            </w:r>
          </w:p>
        </w:tc>
      </w:tr>
      <w:tr w14:paraId="5313CB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33EEC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B9EBB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F0A54">
            <w:pPr>
              <w:jc w:val="center"/>
            </w:pPr>
            <w:r>
              <w:rPr>
                <w:rFonts w:ascii="宋体" w:hAnsi="宋体" w:eastAsia="宋体"/>
                <w:sz w:val="16"/>
              </w:rPr>
              <w:t>全年撰写经济运行分析篇数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01BA1">
            <w:pPr>
              <w:jc w:val="center"/>
            </w:pPr>
            <w:r>
              <w:rPr>
                <w:rFonts w:ascii="宋体" w:hAnsi="宋体" w:eastAsia="宋体"/>
                <w:sz w:val="16"/>
              </w:rPr>
              <w:t>&gt;=20篇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B2ED9">
            <w:pPr>
              <w:jc w:val="center"/>
            </w:pPr>
            <w:r>
              <w:rPr>
                <w:rFonts w:ascii="宋体" w:hAnsi="宋体" w:eastAsia="宋体"/>
                <w:sz w:val="16"/>
              </w:rPr>
              <w:t>吉木萨尔县统计局2023年工作总结及2024年工作计划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CB1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5678D">
            <w:pPr>
              <w:jc w:val="center"/>
            </w:pPr>
            <w:r>
              <w:rPr>
                <w:rFonts w:ascii="宋体" w:hAnsi="宋体" w:eastAsia="宋体"/>
                <w:sz w:val="16"/>
              </w:rPr>
              <w:t>=63篇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881DE">
            <w:pPr>
              <w:jc w:val="center"/>
            </w:pPr>
            <w:r>
              <w:rPr>
                <w:rFonts w:ascii="宋体" w:hAnsi="宋体" w:eastAsia="宋体"/>
                <w:sz w:val="16"/>
              </w:rPr>
              <w:t>20</w:t>
            </w:r>
          </w:p>
        </w:tc>
      </w:tr>
      <w:tr w14:paraId="5856E0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65D8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882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F4135">
            <w:pPr>
              <w:jc w:val="center"/>
            </w:pPr>
            <w:r>
              <w:rPr>
                <w:rFonts w:ascii="宋体" w:hAnsi="宋体" w:eastAsia="宋体"/>
                <w:sz w:val="16"/>
              </w:rPr>
              <w:t>全面完成第五次经济普查各项工作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DA9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1EA8B">
            <w:pPr>
              <w:jc w:val="center"/>
            </w:pPr>
            <w:r>
              <w:rPr>
                <w:rFonts w:ascii="宋体" w:hAnsi="宋体" w:eastAsia="宋体"/>
                <w:sz w:val="16"/>
              </w:rPr>
              <w:t>吉木萨尔县统计局2023年工作总结及2024年工作计划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09EF2">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9271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F476B">
            <w:pPr>
              <w:jc w:val="center"/>
            </w:pPr>
            <w:r>
              <w:rPr>
                <w:rFonts w:ascii="宋体" w:hAnsi="宋体" w:eastAsia="宋体"/>
                <w:sz w:val="16"/>
              </w:rPr>
              <w:t>25</w:t>
            </w:r>
          </w:p>
        </w:tc>
      </w:tr>
      <w:tr w14:paraId="1B4E724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92023">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06862">
            <w:pPr>
              <w:jc w:val="center"/>
            </w:pPr>
            <w:r>
              <w:rPr>
                <w:rFonts w:ascii="宋体" w:hAnsi="宋体" w:eastAsia="宋体"/>
                <w:sz w:val="16"/>
              </w:rPr>
              <w:t>发挥单位统计职能</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36FE9">
            <w:pPr>
              <w:jc w:val="center"/>
            </w:pPr>
            <w:r>
              <w:rPr>
                <w:rFonts w:ascii="宋体" w:hAnsi="宋体" w:eastAsia="宋体"/>
                <w:sz w:val="16"/>
              </w:rPr>
              <w:t>对县域经济发展提供数据支撑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884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00100">
            <w:pPr>
              <w:jc w:val="center"/>
            </w:pPr>
            <w:r>
              <w:rPr>
                <w:rFonts w:ascii="宋体" w:hAnsi="宋体" w:eastAsia="宋体"/>
                <w:sz w:val="16"/>
              </w:rPr>
              <w:t>吉木萨尔县统计局2023年工作总结及2024年工作计划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7223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D6C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8F5FB">
            <w:pPr>
              <w:jc w:val="center"/>
            </w:pPr>
            <w:r>
              <w:rPr>
                <w:rFonts w:ascii="宋体" w:hAnsi="宋体" w:eastAsia="宋体"/>
                <w:sz w:val="16"/>
              </w:rPr>
              <w:t>15</w:t>
            </w:r>
          </w:p>
        </w:tc>
      </w:tr>
    </w:tbl>
    <w:p w14:paraId="614F49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4FC8ABE">
        <w:tblPrEx>
          <w:tblCellMar>
            <w:top w:w="0" w:type="dxa"/>
            <w:left w:w="108" w:type="dxa"/>
            <w:bottom w:w="0" w:type="dxa"/>
            <w:right w:w="108" w:type="dxa"/>
          </w:tblCellMar>
        </w:tblPrEx>
        <w:tc>
          <w:tcPr>
            <w:tcW w:w="8848" w:type="dxa"/>
            <w:gridSpan w:val="14"/>
            <w:vAlign w:val="center"/>
          </w:tcPr>
          <w:p w14:paraId="1194D47C">
            <w:pPr>
              <w:jc w:val="center"/>
            </w:pPr>
            <w:r>
              <w:rPr>
                <w:rFonts w:ascii="宋体" w:hAnsi="宋体" w:eastAsia="宋体"/>
                <w:sz w:val="24"/>
              </w:rPr>
              <w:t>项目支出绩效自评表</w:t>
            </w:r>
          </w:p>
        </w:tc>
      </w:tr>
      <w:tr w14:paraId="45C2388C">
        <w:tblPrEx>
          <w:tblCellMar>
            <w:top w:w="0" w:type="dxa"/>
            <w:left w:w="108" w:type="dxa"/>
            <w:bottom w:w="0" w:type="dxa"/>
            <w:right w:w="108" w:type="dxa"/>
          </w:tblCellMar>
        </w:tblPrEx>
        <w:tc>
          <w:tcPr>
            <w:tcW w:w="8848" w:type="dxa"/>
            <w:gridSpan w:val="14"/>
            <w:vAlign w:val="center"/>
          </w:tcPr>
          <w:p w14:paraId="5C24BCCD">
            <w:pPr>
              <w:jc w:val="center"/>
            </w:pPr>
            <w:r>
              <w:rPr>
                <w:rFonts w:ascii="宋体" w:hAnsi="宋体" w:eastAsia="宋体"/>
                <w:sz w:val="24"/>
              </w:rPr>
              <w:t>(2024年度)</w:t>
            </w:r>
          </w:p>
        </w:tc>
      </w:tr>
      <w:tr w14:paraId="18B13C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CC7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2886C2B">
            <w:pPr>
              <w:jc w:val="center"/>
            </w:pPr>
            <w:r>
              <w:rPr>
                <w:rFonts w:ascii="宋体" w:hAnsi="宋体" w:eastAsia="宋体"/>
                <w:sz w:val="16"/>
              </w:rPr>
              <w:t>住户调查补贴经费</w:t>
            </w:r>
          </w:p>
        </w:tc>
      </w:tr>
      <w:tr w14:paraId="7D8965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505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5A1082">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957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E7C6FF">
            <w:pPr>
              <w:jc w:val="center"/>
            </w:pPr>
            <w:r>
              <w:rPr>
                <w:rFonts w:ascii="宋体" w:hAnsi="宋体" w:eastAsia="宋体"/>
                <w:sz w:val="16"/>
              </w:rPr>
              <w:t>吉木萨尔县统计局</w:t>
            </w:r>
          </w:p>
        </w:tc>
      </w:tr>
      <w:tr w14:paraId="0E7ABC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6135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D37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5571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FBC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56C7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308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4FEF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44F28">
            <w:pPr>
              <w:jc w:val="center"/>
            </w:pPr>
            <w:r>
              <w:rPr>
                <w:rFonts w:ascii="宋体" w:hAnsi="宋体" w:eastAsia="宋体"/>
                <w:sz w:val="16"/>
              </w:rPr>
              <w:t>得分</w:t>
            </w:r>
          </w:p>
        </w:tc>
      </w:tr>
      <w:tr w14:paraId="09D4ED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EED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592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29AEA">
            <w:pPr>
              <w:jc w:val="center"/>
            </w:pPr>
            <w:r>
              <w:rPr>
                <w:rFonts w:ascii="宋体" w:hAnsi="宋体" w:eastAsia="宋体"/>
                <w:sz w:val="16"/>
              </w:rPr>
              <w:t>27.36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AC0E1">
            <w:pPr>
              <w:jc w:val="center"/>
            </w:pPr>
            <w:r>
              <w:rPr>
                <w:rFonts w:ascii="宋体" w:hAnsi="宋体" w:eastAsia="宋体"/>
                <w:sz w:val="16"/>
              </w:rPr>
              <w:t>27.36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776D">
            <w:pPr>
              <w:jc w:val="center"/>
            </w:pPr>
            <w:r>
              <w:rPr>
                <w:rFonts w:ascii="宋体" w:hAnsi="宋体" w:eastAsia="宋体"/>
                <w:sz w:val="16"/>
              </w:rPr>
              <w:t>27.36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392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0970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F3A91">
            <w:pPr>
              <w:jc w:val="center"/>
            </w:pPr>
            <w:r>
              <w:rPr>
                <w:rFonts w:ascii="宋体" w:hAnsi="宋体" w:eastAsia="宋体"/>
                <w:sz w:val="16"/>
              </w:rPr>
              <w:t>10.00</w:t>
            </w:r>
          </w:p>
        </w:tc>
      </w:tr>
      <w:tr w14:paraId="62493B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6E1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C62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ED95F">
            <w:pPr>
              <w:jc w:val="center"/>
            </w:pPr>
            <w:r>
              <w:rPr>
                <w:rFonts w:ascii="宋体" w:hAnsi="宋体" w:eastAsia="宋体"/>
                <w:sz w:val="16"/>
              </w:rPr>
              <w:t>27.36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00480">
            <w:pPr>
              <w:jc w:val="center"/>
            </w:pPr>
            <w:r>
              <w:rPr>
                <w:rFonts w:ascii="宋体" w:hAnsi="宋体" w:eastAsia="宋体"/>
                <w:sz w:val="16"/>
              </w:rPr>
              <w:t>27.36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5FC10">
            <w:pPr>
              <w:jc w:val="center"/>
            </w:pPr>
            <w:r>
              <w:rPr>
                <w:rFonts w:ascii="宋体" w:hAnsi="宋体" w:eastAsia="宋体"/>
                <w:sz w:val="16"/>
              </w:rPr>
              <w:t>27.36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BFF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8C5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7946">
            <w:pPr>
              <w:jc w:val="center"/>
            </w:pPr>
            <w:r>
              <w:rPr>
                <w:rFonts w:ascii="宋体" w:hAnsi="宋体" w:eastAsia="宋体"/>
                <w:sz w:val="16"/>
              </w:rPr>
              <w:t>—</w:t>
            </w:r>
          </w:p>
        </w:tc>
      </w:tr>
      <w:tr w14:paraId="7A16DF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9CA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63DF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8A2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3D6D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3C4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453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E56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5E8E">
            <w:pPr>
              <w:jc w:val="center"/>
            </w:pPr>
            <w:r>
              <w:rPr>
                <w:rFonts w:ascii="宋体" w:hAnsi="宋体" w:eastAsia="宋体"/>
                <w:sz w:val="16"/>
              </w:rPr>
              <w:t>—</w:t>
            </w:r>
          </w:p>
        </w:tc>
      </w:tr>
      <w:tr w14:paraId="291EBB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2EF1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D507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6DA039">
            <w:pPr>
              <w:jc w:val="center"/>
            </w:pPr>
            <w:r>
              <w:rPr>
                <w:rFonts w:ascii="宋体" w:hAnsi="宋体" w:eastAsia="宋体"/>
                <w:sz w:val="16"/>
              </w:rPr>
              <w:t>实际完成情况</w:t>
            </w:r>
          </w:p>
        </w:tc>
      </w:tr>
      <w:tr w14:paraId="605DE5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814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EB8E88">
            <w:pPr>
              <w:jc w:val="both"/>
            </w:pPr>
            <w:r>
              <w:rPr>
                <w:rFonts w:ascii="宋体" w:hAnsi="宋体" w:eastAsia="宋体"/>
                <w:sz w:val="16"/>
              </w:rPr>
              <w:t>按照国家及新疆调查队的安排部署，完成2024年的住户调查工作。确保各项数据真实、准确。统计局开展城乡一体化住户调查工作，全县抽取120户住户开展记账工作，按季度发放记账补贴。补贴标准为600元。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FF6F1A">
            <w:pPr>
              <w:jc w:val="both"/>
            </w:pPr>
            <w:r>
              <w:rPr>
                <w:rFonts w:ascii="宋体" w:hAnsi="宋体" w:eastAsia="宋体"/>
                <w:sz w:val="16"/>
              </w:rPr>
              <w:t>截至2024年12月31日，本项目实际支出资金27.36万元，预算执行率为100%。按照国家及新疆调查队的安排部署，统计局开展城乡一体化住户调查工作，全县抽取120户住户开展记账工作，2024年住户调查任务已圆满完成。按季度发放记账补贴，补贴标准为600元。调查对象满意度达到95%。</w:t>
            </w:r>
          </w:p>
        </w:tc>
      </w:tr>
      <w:tr w14:paraId="1CEB4F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4BF85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ED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A1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89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67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EC66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9AF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04C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2C3B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9A64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4B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C95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13DB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A113B">
            <w:pPr>
              <w:jc w:val="center"/>
            </w:pPr>
            <w:r>
              <w:rPr>
                <w:rFonts w:ascii="宋体" w:hAnsi="宋体" w:eastAsia="宋体"/>
                <w:sz w:val="16"/>
              </w:rPr>
              <w:t>偏差原因分析及改进措施</w:t>
            </w:r>
          </w:p>
        </w:tc>
      </w:tr>
      <w:tr w14:paraId="3F0970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54B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A82A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BEF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DED7">
            <w:pPr>
              <w:jc w:val="center"/>
            </w:pPr>
            <w:r>
              <w:rPr>
                <w:rFonts w:ascii="宋体" w:hAnsi="宋体" w:eastAsia="宋体"/>
                <w:sz w:val="16"/>
              </w:rPr>
              <w:t>调查户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7D8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17749">
            <w:pPr>
              <w:jc w:val="center"/>
            </w:pPr>
            <w:r>
              <w:rPr>
                <w:rFonts w:ascii="宋体" w:hAnsi="宋体" w:eastAsia="宋体"/>
                <w:sz w:val="16"/>
              </w:rPr>
              <w:t>&gt;=120户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C5FD">
            <w:pPr>
              <w:jc w:val="center"/>
            </w:pPr>
            <w:r>
              <w:rPr>
                <w:rFonts w:ascii="宋体" w:hAnsi="宋体" w:eastAsia="宋体"/>
                <w:sz w:val="16"/>
              </w:rPr>
              <w:t>=120户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08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4A9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EF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7B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59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72C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AD41">
            <w:pPr>
              <w:jc w:val="center"/>
            </w:pPr>
          </w:p>
        </w:tc>
      </w:tr>
      <w:tr w14:paraId="61F5A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CC17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E41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8A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2C066">
            <w:pPr>
              <w:jc w:val="center"/>
            </w:pPr>
            <w:r>
              <w:rPr>
                <w:rFonts w:ascii="宋体" w:hAnsi="宋体" w:eastAsia="宋体"/>
                <w:sz w:val="16"/>
              </w:rPr>
              <w:t>住户调查辅调员人数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FA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FE4C">
            <w:pPr>
              <w:jc w:val="center"/>
            </w:pPr>
            <w:r>
              <w:rPr>
                <w:rFonts w:ascii="宋体" w:hAnsi="宋体" w:eastAsia="宋体"/>
                <w:sz w:val="16"/>
              </w:rPr>
              <w:t>&gt;=12人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16B64">
            <w:pPr>
              <w:jc w:val="center"/>
            </w:pPr>
            <w:r>
              <w:rPr>
                <w:rFonts w:ascii="宋体" w:hAnsi="宋体" w:eastAsia="宋体"/>
                <w:sz w:val="16"/>
              </w:rPr>
              <w:t>=12人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2E4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15DA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1F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27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CB0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2A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1342">
            <w:pPr>
              <w:jc w:val="center"/>
            </w:pPr>
          </w:p>
        </w:tc>
      </w:tr>
      <w:tr w14:paraId="016544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257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A8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D67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E628">
            <w:pPr>
              <w:jc w:val="center"/>
            </w:pPr>
            <w:r>
              <w:rPr>
                <w:rFonts w:ascii="宋体" w:hAnsi="宋体" w:eastAsia="宋体"/>
                <w:sz w:val="16"/>
              </w:rPr>
              <w:t>补贴发放准确率（%）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6D32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022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12E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86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1418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DF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2E0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933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47C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46CC4">
            <w:pPr>
              <w:jc w:val="center"/>
            </w:pPr>
          </w:p>
        </w:tc>
      </w:tr>
      <w:tr w14:paraId="23BCB5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903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8BB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339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4852">
            <w:pPr>
              <w:jc w:val="center"/>
            </w:pPr>
            <w:r>
              <w:rPr>
                <w:rFonts w:ascii="宋体" w:hAnsi="宋体" w:eastAsia="宋体"/>
                <w:sz w:val="16"/>
              </w:rPr>
              <w:t>住户调查补贴发放及时率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E0B7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CFA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0DD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CD0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CC5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33C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A8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D3A1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AB7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F42A">
            <w:pPr>
              <w:jc w:val="center"/>
            </w:pPr>
            <w:r>
              <w:rPr>
                <w:rFonts w:ascii="宋体" w:hAnsi="宋体" w:eastAsia="宋体"/>
                <w:sz w:val="16"/>
              </w:rPr>
              <w:t>对于发放住户调查补贴，受益人员均比较满意。</w:t>
            </w:r>
          </w:p>
        </w:tc>
      </w:tr>
      <w:tr w14:paraId="07C36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9E3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95E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AD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2BEE">
            <w:pPr>
              <w:jc w:val="center"/>
            </w:pPr>
            <w:r>
              <w:rPr>
                <w:rFonts w:ascii="宋体" w:hAnsi="宋体" w:eastAsia="宋体"/>
                <w:sz w:val="16"/>
              </w:rPr>
              <w:t>住户调查补贴标准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51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36BD">
            <w:pPr>
              <w:jc w:val="center"/>
            </w:pPr>
            <w:r>
              <w:rPr>
                <w:rFonts w:ascii="宋体" w:hAnsi="宋体" w:eastAsia="宋体"/>
                <w:sz w:val="16"/>
              </w:rPr>
              <w:t>=600元/月/人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E6B7">
            <w:pPr>
              <w:jc w:val="center"/>
            </w:pPr>
            <w:r>
              <w:rPr>
                <w:rFonts w:ascii="宋体" w:hAnsi="宋体" w:eastAsia="宋体"/>
                <w:sz w:val="16"/>
              </w:rPr>
              <w:t>=600元/月/人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0C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19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9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CBA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2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B19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B759">
            <w:pPr>
              <w:jc w:val="center"/>
            </w:pPr>
          </w:p>
        </w:tc>
      </w:tr>
      <w:tr w14:paraId="410A1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8CF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2F22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776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0D44">
            <w:pPr>
              <w:jc w:val="center"/>
            </w:pPr>
            <w:r>
              <w:rPr>
                <w:rFonts w:ascii="宋体" w:hAnsi="宋体" w:eastAsia="宋体"/>
                <w:sz w:val="16"/>
              </w:rPr>
              <w:t>提供真实有效的数据及分析报告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890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83E0">
            <w:pPr>
              <w:jc w:val="center"/>
            </w:pPr>
            <w:r>
              <w:rPr>
                <w:rFonts w:ascii="宋体" w:hAnsi="宋体" w:eastAsia="宋体"/>
                <w:sz w:val="16"/>
              </w:rPr>
              <w:t>真实有效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59AA">
            <w:pPr>
              <w:jc w:val="center"/>
            </w:pPr>
            <w:r>
              <w:rPr>
                <w:rFonts w:ascii="宋体" w:hAnsi="宋体" w:eastAsia="宋体"/>
                <w:sz w:val="16"/>
              </w:rPr>
              <w:t>真实有效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2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62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890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58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9AA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6E1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566A">
            <w:pPr>
              <w:jc w:val="center"/>
            </w:pPr>
          </w:p>
        </w:tc>
      </w:tr>
      <w:tr w14:paraId="3376E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0B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6A3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168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5533">
            <w:pPr>
              <w:jc w:val="center"/>
            </w:pPr>
            <w:r>
              <w:rPr>
                <w:rFonts w:ascii="宋体" w:hAnsi="宋体" w:eastAsia="宋体"/>
                <w:sz w:val="16"/>
              </w:rPr>
              <w:t>调查对象满意度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04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6D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7138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5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11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519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BD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10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66925">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6762">
            <w:pPr>
              <w:jc w:val="center"/>
            </w:pPr>
          </w:p>
        </w:tc>
      </w:tr>
      <w:tr w14:paraId="2566A4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1DAA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30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9901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79F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940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2259">
            <w:pPr>
              <w:jc w:val="center"/>
            </w:pPr>
            <w:r>
              <w:rPr>
                <w:rFonts w:ascii="宋体" w:hAnsi="宋体" w:eastAsia="宋体"/>
                <w:sz w:val="16"/>
              </w:rPr>
              <w:t>91.00分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E7C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218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8B2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9240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C3FC18"/>
        </w:tc>
      </w:tr>
    </w:tbl>
    <w:p w14:paraId="6C9A4A9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32"/>
        <w:gridCol w:w="696"/>
        <w:gridCol w:w="632"/>
        <w:gridCol w:w="632"/>
        <w:gridCol w:w="632"/>
        <w:gridCol w:w="632"/>
        <w:gridCol w:w="632"/>
      </w:tblGrid>
      <w:tr w14:paraId="38AF5B14">
        <w:tblPrEx>
          <w:tblCellMar>
            <w:top w:w="0" w:type="dxa"/>
            <w:left w:w="108" w:type="dxa"/>
            <w:bottom w:w="0" w:type="dxa"/>
            <w:right w:w="108" w:type="dxa"/>
          </w:tblCellMar>
        </w:tblPrEx>
        <w:tc>
          <w:tcPr>
            <w:tcW w:w="8848" w:type="dxa"/>
            <w:gridSpan w:val="14"/>
            <w:vAlign w:val="center"/>
          </w:tcPr>
          <w:p w14:paraId="73633761">
            <w:pPr>
              <w:jc w:val="center"/>
            </w:pPr>
            <w:r>
              <w:rPr>
                <w:rFonts w:ascii="宋体" w:hAnsi="宋体" w:eastAsia="宋体"/>
                <w:sz w:val="24"/>
              </w:rPr>
              <w:t>项目支出绩效自评表</w:t>
            </w:r>
          </w:p>
        </w:tc>
      </w:tr>
      <w:tr w14:paraId="591F6153">
        <w:tblPrEx>
          <w:tblCellMar>
            <w:top w:w="0" w:type="dxa"/>
            <w:left w:w="108" w:type="dxa"/>
            <w:bottom w:w="0" w:type="dxa"/>
            <w:right w:w="108" w:type="dxa"/>
          </w:tblCellMar>
        </w:tblPrEx>
        <w:tc>
          <w:tcPr>
            <w:tcW w:w="8848" w:type="dxa"/>
            <w:gridSpan w:val="14"/>
            <w:vAlign w:val="center"/>
          </w:tcPr>
          <w:p w14:paraId="5D35D698">
            <w:pPr>
              <w:jc w:val="center"/>
            </w:pPr>
            <w:r>
              <w:rPr>
                <w:rFonts w:ascii="宋体" w:hAnsi="宋体" w:eastAsia="宋体"/>
                <w:sz w:val="24"/>
              </w:rPr>
              <w:t>(2024年度)</w:t>
            </w:r>
          </w:p>
        </w:tc>
      </w:tr>
      <w:tr w14:paraId="6B2132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760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7CC166">
            <w:pPr>
              <w:jc w:val="center"/>
            </w:pPr>
            <w:r>
              <w:rPr>
                <w:rFonts w:ascii="宋体" w:hAnsi="宋体" w:eastAsia="宋体"/>
                <w:sz w:val="16"/>
              </w:rPr>
              <w:t>第五次全国经济普查经费</w:t>
            </w:r>
          </w:p>
        </w:tc>
      </w:tr>
      <w:tr w14:paraId="2F34B9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BA4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203D23">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1C2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7A6FAF">
            <w:pPr>
              <w:jc w:val="center"/>
            </w:pPr>
            <w:r>
              <w:rPr>
                <w:rFonts w:ascii="宋体" w:hAnsi="宋体" w:eastAsia="宋体"/>
                <w:sz w:val="16"/>
              </w:rPr>
              <w:t>吉木萨尔县统计局</w:t>
            </w:r>
          </w:p>
        </w:tc>
      </w:tr>
      <w:tr w14:paraId="75C4F6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5C36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3FC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AC0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E811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2AB6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D5B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2EF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EE82B">
            <w:pPr>
              <w:jc w:val="center"/>
            </w:pPr>
            <w:r>
              <w:rPr>
                <w:rFonts w:ascii="宋体" w:hAnsi="宋体" w:eastAsia="宋体"/>
                <w:sz w:val="16"/>
              </w:rPr>
              <w:t>得分</w:t>
            </w:r>
          </w:p>
        </w:tc>
      </w:tr>
      <w:tr w14:paraId="44E5A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3D6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A9E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E0AF">
            <w:pPr>
              <w:jc w:val="center"/>
            </w:pPr>
            <w:r>
              <w:rPr>
                <w:rFonts w:ascii="宋体" w:hAnsi="宋体" w:eastAsia="宋体"/>
                <w:sz w:val="16"/>
              </w:rPr>
              <w:t>63.56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5493C">
            <w:pPr>
              <w:jc w:val="center"/>
            </w:pPr>
            <w:r>
              <w:rPr>
                <w:rFonts w:ascii="宋体" w:hAnsi="宋体" w:eastAsia="宋体"/>
                <w:sz w:val="16"/>
              </w:rPr>
              <w:t>63.56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3C452">
            <w:pPr>
              <w:jc w:val="center"/>
            </w:pPr>
            <w:r>
              <w:rPr>
                <w:rFonts w:ascii="宋体" w:hAnsi="宋体" w:eastAsia="宋体"/>
                <w:sz w:val="16"/>
              </w:rPr>
              <w:t>63.56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3385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379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9F32">
            <w:pPr>
              <w:jc w:val="center"/>
            </w:pPr>
            <w:r>
              <w:rPr>
                <w:rFonts w:ascii="宋体" w:hAnsi="宋体" w:eastAsia="宋体"/>
                <w:sz w:val="16"/>
              </w:rPr>
              <w:t>10.00</w:t>
            </w:r>
          </w:p>
        </w:tc>
      </w:tr>
      <w:tr w14:paraId="5BF6A3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55B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28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41E09">
            <w:pPr>
              <w:jc w:val="center"/>
            </w:pPr>
            <w:r>
              <w:rPr>
                <w:rFonts w:ascii="宋体" w:hAnsi="宋体" w:eastAsia="宋体"/>
                <w:sz w:val="16"/>
              </w:rPr>
              <w:t>63.56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377C0">
            <w:pPr>
              <w:jc w:val="center"/>
            </w:pPr>
            <w:r>
              <w:rPr>
                <w:rFonts w:ascii="宋体" w:hAnsi="宋体" w:eastAsia="宋体"/>
                <w:sz w:val="16"/>
              </w:rPr>
              <w:t>63.56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E7645">
            <w:pPr>
              <w:jc w:val="center"/>
            </w:pPr>
            <w:r>
              <w:rPr>
                <w:rFonts w:ascii="宋体" w:hAnsi="宋体" w:eastAsia="宋体"/>
                <w:sz w:val="16"/>
              </w:rPr>
              <w:t>63.56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D47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7B2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FEB5">
            <w:pPr>
              <w:jc w:val="center"/>
            </w:pPr>
            <w:r>
              <w:rPr>
                <w:rFonts w:ascii="宋体" w:hAnsi="宋体" w:eastAsia="宋体"/>
                <w:sz w:val="16"/>
              </w:rPr>
              <w:t>—</w:t>
            </w:r>
          </w:p>
        </w:tc>
      </w:tr>
      <w:tr w14:paraId="17E76F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40F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EF87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195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B61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207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501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9ED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38029">
            <w:pPr>
              <w:jc w:val="center"/>
            </w:pPr>
            <w:r>
              <w:rPr>
                <w:rFonts w:ascii="宋体" w:hAnsi="宋体" w:eastAsia="宋体"/>
                <w:sz w:val="16"/>
              </w:rPr>
              <w:t>—</w:t>
            </w:r>
          </w:p>
        </w:tc>
      </w:tr>
      <w:tr w14:paraId="657BB0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9B0A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C2E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54A855">
            <w:pPr>
              <w:jc w:val="center"/>
            </w:pPr>
            <w:r>
              <w:rPr>
                <w:rFonts w:ascii="宋体" w:hAnsi="宋体" w:eastAsia="宋体"/>
                <w:sz w:val="16"/>
              </w:rPr>
              <w:t>实际完成情况</w:t>
            </w:r>
          </w:p>
        </w:tc>
      </w:tr>
      <w:tr w14:paraId="2EFD6B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B3F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0E054C">
            <w:pPr>
              <w:jc w:val="both"/>
            </w:pPr>
            <w:r>
              <w:rPr>
                <w:rFonts w:ascii="宋体" w:hAnsi="宋体" w:eastAsia="宋体"/>
                <w:sz w:val="16"/>
              </w:rPr>
              <w:t>在国家和区、州的统一安排部署下，保障落实好吉木萨尔县第五次全国经济普查“两员”经费，确保普查各项工作顺利开展。发放“两员”经费人数170人，聘用人员数量5人，计划个体登记普查抽样数量605户，法人单位登记2738家，普查单位及个体覆盖达到100%，按时完成普查工作，“两员”人均标准为40元/天</w:t>
            </w:r>
            <w:r>
              <w:rPr>
                <w:rFonts w:hint="eastAsia" w:ascii="宋体" w:hAnsi="宋体"/>
                <w:sz w:val="16"/>
                <w:lang w:val="en-US" w:eastAsia="zh-CN"/>
              </w:rPr>
              <w:t>/</w:t>
            </w:r>
            <w:r>
              <w:rPr>
                <w:rFonts w:ascii="宋体" w:hAnsi="宋体" w:eastAsia="宋体"/>
                <w:sz w:val="16"/>
              </w:rPr>
              <w:t>人，社会聘用人员补贴标准为3000元/人。提高普查数据登记质量，受益“两员”人员满意。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1C0563">
            <w:pPr>
              <w:jc w:val="both"/>
            </w:pPr>
            <w:r>
              <w:rPr>
                <w:rFonts w:ascii="宋体" w:hAnsi="宋体" w:eastAsia="宋体"/>
                <w:sz w:val="16"/>
              </w:rPr>
              <w:t>截至2024年12月31日，吉木萨尔县统计局全国第五次经济普查项目实际支出63.56万元，项目预算执行率100%，已顺利圆满完成全国第五次经济普查各项工作任务，通过本次普查项目可以深入了解我县的经济状况，为科学制定国民经济和社会发展中长期规划提供参考依据，同时有助于准确把握我县经济社会发展特征，推动县域经济高质量发展。</w:t>
            </w:r>
            <w:r>
              <w:rPr>
                <w:rFonts w:ascii="宋体" w:hAnsi="宋体" w:eastAsia="宋体"/>
                <w:sz w:val="16"/>
              </w:rPr>
              <w:br w:type="textWrapping"/>
            </w:r>
          </w:p>
        </w:tc>
      </w:tr>
      <w:tr w14:paraId="74B358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B9F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90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DB4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47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D66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E7E1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1B0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B6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8678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FD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7A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57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038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B7ED">
            <w:pPr>
              <w:jc w:val="center"/>
            </w:pPr>
            <w:r>
              <w:rPr>
                <w:rFonts w:ascii="宋体" w:hAnsi="宋体" w:eastAsia="宋体"/>
                <w:sz w:val="16"/>
              </w:rPr>
              <w:t>偏差原因分析及改进措施</w:t>
            </w:r>
          </w:p>
        </w:tc>
      </w:tr>
      <w:tr w14:paraId="64FA44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A792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30A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962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0AF5B">
            <w:pPr>
              <w:jc w:val="center"/>
            </w:pPr>
            <w:r>
              <w:rPr>
                <w:rFonts w:ascii="宋体" w:hAnsi="宋体" w:eastAsia="宋体"/>
                <w:sz w:val="16"/>
              </w:rPr>
              <w:t>发放经费人数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68AF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BE55">
            <w:pPr>
              <w:jc w:val="center"/>
            </w:pPr>
            <w:r>
              <w:rPr>
                <w:rFonts w:ascii="宋体" w:hAnsi="宋体" w:eastAsia="宋体"/>
                <w:sz w:val="16"/>
              </w:rPr>
              <w:t>&gt;=170人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DA10C">
            <w:pPr>
              <w:jc w:val="center"/>
            </w:pPr>
            <w:r>
              <w:rPr>
                <w:rFonts w:ascii="宋体" w:hAnsi="宋体" w:eastAsia="宋体"/>
                <w:sz w:val="16"/>
              </w:rPr>
              <w:t>=178人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F0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8B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2BB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BA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7A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149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27E0">
            <w:pPr>
              <w:jc w:val="center"/>
            </w:pPr>
          </w:p>
        </w:tc>
      </w:tr>
      <w:tr w14:paraId="588326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63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03B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395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0D24A">
            <w:pPr>
              <w:jc w:val="center"/>
            </w:pPr>
            <w:r>
              <w:rPr>
                <w:rFonts w:ascii="宋体" w:hAnsi="宋体" w:eastAsia="宋体"/>
                <w:sz w:val="16"/>
              </w:rPr>
              <w:t>个体登记普查抽样数量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62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1B50">
            <w:pPr>
              <w:jc w:val="center"/>
            </w:pPr>
            <w:r>
              <w:rPr>
                <w:rFonts w:ascii="宋体" w:hAnsi="宋体" w:eastAsia="宋体"/>
                <w:sz w:val="16"/>
              </w:rPr>
              <w:t>&gt;=605户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69F5">
            <w:pPr>
              <w:jc w:val="center"/>
            </w:pPr>
            <w:r>
              <w:rPr>
                <w:rFonts w:ascii="宋体" w:hAnsi="宋体" w:eastAsia="宋体"/>
                <w:sz w:val="16"/>
              </w:rPr>
              <w:t>=605户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3D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9B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454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8D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B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30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5E9F">
            <w:pPr>
              <w:jc w:val="center"/>
            </w:pPr>
          </w:p>
        </w:tc>
      </w:tr>
      <w:tr w14:paraId="318FB3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B7D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978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42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045B8">
            <w:pPr>
              <w:jc w:val="center"/>
            </w:pPr>
            <w:r>
              <w:rPr>
                <w:rFonts w:ascii="宋体" w:hAnsi="宋体" w:eastAsia="宋体"/>
                <w:sz w:val="16"/>
              </w:rPr>
              <w:t>法人单位登记数量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6F1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A426B">
            <w:pPr>
              <w:jc w:val="center"/>
            </w:pPr>
            <w:r>
              <w:rPr>
                <w:rFonts w:ascii="宋体" w:hAnsi="宋体" w:eastAsia="宋体"/>
                <w:sz w:val="16"/>
              </w:rPr>
              <w:t>&gt;=2738家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CDFB4">
            <w:pPr>
              <w:jc w:val="center"/>
            </w:pPr>
            <w:r>
              <w:rPr>
                <w:rFonts w:ascii="宋体" w:hAnsi="宋体" w:eastAsia="宋体"/>
                <w:sz w:val="16"/>
              </w:rPr>
              <w:t>=2738家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18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D5F6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2C1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DF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2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A5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1016">
            <w:pPr>
              <w:jc w:val="center"/>
            </w:pPr>
          </w:p>
        </w:tc>
      </w:tr>
      <w:tr w14:paraId="2876F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76B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468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67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1B696">
            <w:pPr>
              <w:jc w:val="center"/>
            </w:pPr>
            <w:r>
              <w:rPr>
                <w:rFonts w:ascii="宋体" w:hAnsi="宋体" w:eastAsia="宋体"/>
                <w:sz w:val="16"/>
              </w:rPr>
              <w:t>聘用人员数量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CE5B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1DF5">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FA97">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CDD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BB0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4C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C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FF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31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6FEA6">
            <w:pPr>
              <w:jc w:val="center"/>
            </w:pPr>
          </w:p>
        </w:tc>
      </w:tr>
      <w:tr w14:paraId="64B1C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44F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28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B0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BDA0">
            <w:pPr>
              <w:jc w:val="center"/>
            </w:pPr>
            <w:r>
              <w:rPr>
                <w:rFonts w:ascii="宋体" w:hAnsi="宋体" w:eastAsia="宋体"/>
                <w:sz w:val="16"/>
              </w:rPr>
              <w:t>普查单位及个体覆盖率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1A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8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60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1C7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B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2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59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6B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E40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1CE74">
            <w:pPr>
              <w:jc w:val="center"/>
            </w:pPr>
          </w:p>
        </w:tc>
      </w:tr>
      <w:tr w14:paraId="5298D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A9C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7A6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0D3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04FE">
            <w:pPr>
              <w:jc w:val="center"/>
            </w:pPr>
            <w:r>
              <w:rPr>
                <w:rFonts w:ascii="宋体" w:hAnsi="宋体" w:eastAsia="宋体"/>
                <w:sz w:val="16"/>
              </w:rPr>
              <w:t>普查工作完成及时性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7CA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4B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EC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52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533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DA9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F1B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3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9C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C599">
            <w:pPr>
              <w:jc w:val="center"/>
            </w:pPr>
          </w:p>
        </w:tc>
      </w:tr>
      <w:tr w14:paraId="2DD54C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F58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5424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159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50877">
            <w:pPr>
              <w:jc w:val="center"/>
            </w:pPr>
            <w:r>
              <w:rPr>
                <w:rFonts w:ascii="宋体" w:hAnsi="宋体" w:eastAsia="宋体"/>
                <w:sz w:val="16"/>
              </w:rPr>
              <w:t>“两员”人均标准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A4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C5DDA">
            <w:pPr>
              <w:jc w:val="center"/>
            </w:pPr>
            <w:r>
              <w:rPr>
                <w:rFonts w:ascii="宋体" w:hAnsi="宋体" w:eastAsia="宋体"/>
                <w:sz w:val="16"/>
              </w:rPr>
              <w:t>&lt;=40元/天·人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364EE">
            <w:pPr>
              <w:jc w:val="center"/>
            </w:pPr>
            <w:r>
              <w:rPr>
                <w:rFonts w:ascii="宋体" w:hAnsi="宋体" w:eastAsia="宋体"/>
                <w:sz w:val="16"/>
              </w:rPr>
              <w:t>=40元/天·人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3B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B4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EC2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2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CF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5F0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9FF3">
            <w:pPr>
              <w:jc w:val="center"/>
            </w:pPr>
          </w:p>
        </w:tc>
      </w:tr>
      <w:tr w14:paraId="04D09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9F1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1A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ACB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4C92">
            <w:pPr>
              <w:jc w:val="center"/>
            </w:pPr>
            <w:r>
              <w:rPr>
                <w:rFonts w:ascii="宋体" w:hAnsi="宋体" w:eastAsia="宋体"/>
                <w:sz w:val="16"/>
              </w:rPr>
              <w:t>社会聘用人员补贴标准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0C8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151DA">
            <w:pPr>
              <w:jc w:val="center"/>
            </w:pPr>
            <w:r>
              <w:rPr>
                <w:rFonts w:ascii="宋体" w:hAnsi="宋体" w:eastAsia="宋体"/>
                <w:sz w:val="16"/>
              </w:rPr>
              <w:t>&lt;=3000元/人/月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9BC5">
            <w:pPr>
              <w:jc w:val="center"/>
            </w:pPr>
            <w:r>
              <w:rPr>
                <w:rFonts w:ascii="宋体" w:hAnsi="宋体" w:eastAsia="宋体"/>
                <w:sz w:val="16"/>
              </w:rPr>
              <w:t>=3000元/人/月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C5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113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8D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7F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8A9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7C69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DFBDA">
            <w:pPr>
              <w:jc w:val="center"/>
            </w:pPr>
          </w:p>
        </w:tc>
      </w:tr>
      <w:tr w14:paraId="3A715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0AE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45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C72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EBEA">
            <w:pPr>
              <w:jc w:val="center"/>
            </w:pPr>
            <w:r>
              <w:rPr>
                <w:rFonts w:ascii="宋体" w:hAnsi="宋体" w:eastAsia="宋体"/>
                <w:sz w:val="16"/>
              </w:rPr>
              <w:t>提高普查数据登记质量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C3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AD6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28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4D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EB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0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3B5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62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2F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A47E">
            <w:pPr>
              <w:jc w:val="center"/>
            </w:pPr>
          </w:p>
        </w:tc>
      </w:tr>
      <w:tr w14:paraId="2C33B5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9CF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F4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D35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222AD">
            <w:pPr>
              <w:jc w:val="center"/>
            </w:pPr>
            <w:r>
              <w:rPr>
                <w:rFonts w:ascii="宋体" w:hAnsi="宋体" w:eastAsia="宋体"/>
                <w:sz w:val="16"/>
              </w:rPr>
              <w:t>受益“两员”满意度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D1E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AF7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3C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AA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84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F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AC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BA3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B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6B64">
            <w:pPr>
              <w:jc w:val="center"/>
            </w:pPr>
          </w:p>
        </w:tc>
      </w:tr>
      <w:tr w14:paraId="66214BD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2A05B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1F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77EA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DACA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C9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035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ADC2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209A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0805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5CC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6A2849"/>
        </w:tc>
      </w:tr>
    </w:tbl>
    <w:p w14:paraId="1CECA3C1">
      <w:r>
        <w:br w:type="page"/>
      </w:r>
    </w:p>
    <w:p w14:paraId="54685DB9">
      <w:pPr>
        <w:spacing w:line="640" w:lineRule="exact"/>
        <w:ind w:firstLine="640"/>
        <w:jc w:val="both"/>
        <w:outlineLvl w:val="2"/>
      </w:pPr>
      <w:r>
        <w:rPr>
          <w:rFonts w:ascii="黑体" w:hAnsi="黑体" w:eastAsia="黑体"/>
          <w:sz w:val="32"/>
        </w:rPr>
        <w:t>十二、其他需说明的事项</w:t>
      </w:r>
    </w:p>
    <w:p w14:paraId="22636EAF">
      <w:pPr>
        <w:spacing w:line="580" w:lineRule="exact"/>
        <w:ind w:firstLine="640"/>
        <w:jc w:val="both"/>
      </w:pPr>
      <w:r>
        <w:rPr>
          <w:rFonts w:ascii="仿宋_GB2312" w:hAnsi="仿宋_GB2312" w:eastAsia="仿宋_GB2312"/>
          <w:b w:val="0"/>
          <w:sz w:val="32"/>
        </w:rPr>
        <w:t>本单位无其他需说明的事项。</w:t>
      </w:r>
    </w:p>
    <w:p w14:paraId="631BA7C7">
      <w:r>
        <w:br w:type="page"/>
      </w:r>
    </w:p>
    <w:p w14:paraId="00380DB8">
      <w:pPr>
        <w:spacing w:line="240" w:lineRule="auto"/>
        <w:jc w:val="center"/>
        <w:outlineLvl w:val="1"/>
      </w:pPr>
      <w:r>
        <w:rPr>
          <w:rFonts w:ascii="黑体" w:hAnsi="黑体" w:eastAsia="黑体"/>
          <w:sz w:val="32"/>
        </w:rPr>
        <w:t>第三部分 专业名词解释</w:t>
      </w:r>
    </w:p>
    <w:p w14:paraId="7FCC790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4CD952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A069D8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0E5861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4CBBBE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93DB37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2F2E3F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7E458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0FEC0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3D6A34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E23406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A5554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191446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54D6E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9624D4E">
      <w:r>
        <w:br w:type="page"/>
      </w:r>
    </w:p>
    <w:p w14:paraId="18BFE631">
      <w:pPr>
        <w:spacing w:line="240" w:lineRule="auto"/>
        <w:jc w:val="center"/>
        <w:outlineLvl w:val="1"/>
      </w:pPr>
      <w:r>
        <w:rPr>
          <w:rFonts w:ascii="黑体" w:hAnsi="黑体" w:eastAsia="黑体"/>
          <w:sz w:val="32"/>
        </w:rPr>
        <w:t>第四部分 部门决算报表（见附表）</w:t>
      </w:r>
    </w:p>
    <w:p w14:paraId="5F8DC463">
      <w:pPr>
        <w:spacing w:line="240" w:lineRule="auto"/>
        <w:ind w:firstLine="640"/>
        <w:jc w:val="both"/>
      </w:pPr>
      <w:r>
        <w:rPr>
          <w:rFonts w:ascii="仿宋_GB2312" w:hAnsi="仿宋_GB2312" w:eastAsia="仿宋_GB2312"/>
          <w:b w:val="0"/>
          <w:sz w:val="32"/>
        </w:rPr>
        <w:t>一、《收入支出决算总表》</w:t>
      </w:r>
    </w:p>
    <w:p w14:paraId="64281B4D">
      <w:pPr>
        <w:spacing w:line="240" w:lineRule="auto"/>
        <w:ind w:firstLine="640"/>
        <w:jc w:val="both"/>
      </w:pPr>
      <w:r>
        <w:rPr>
          <w:rFonts w:ascii="仿宋_GB2312" w:hAnsi="仿宋_GB2312" w:eastAsia="仿宋_GB2312"/>
          <w:b w:val="0"/>
          <w:sz w:val="32"/>
        </w:rPr>
        <w:t>二、《收入决算表》</w:t>
      </w:r>
    </w:p>
    <w:p w14:paraId="6C158AF5">
      <w:pPr>
        <w:spacing w:line="240" w:lineRule="auto"/>
        <w:ind w:firstLine="640"/>
        <w:jc w:val="both"/>
      </w:pPr>
      <w:r>
        <w:rPr>
          <w:rFonts w:ascii="仿宋_GB2312" w:hAnsi="仿宋_GB2312" w:eastAsia="仿宋_GB2312"/>
          <w:b w:val="0"/>
          <w:sz w:val="32"/>
        </w:rPr>
        <w:t>三、《支出决算表》</w:t>
      </w:r>
    </w:p>
    <w:p w14:paraId="199E48DE">
      <w:pPr>
        <w:spacing w:line="240" w:lineRule="auto"/>
        <w:ind w:firstLine="640"/>
        <w:jc w:val="both"/>
      </w:pPr>
      <w:r>
        <w:rPr>
          <w:rFonts w:ascii="仿宋_GB2312" w:hAnsi="仿宋_GB2312" w:eastAsia="仿宋_GB2312"/>
          <w:b w:val="0"/>
          <w:sz w:val="32"/>
        </w:rPr>
        <w:t>四、《财政拨款收入支出决算总表》</w:t>
      </w:r>
    </w:p>
    <w:p w14:paraId="1895C56C">
      <w:pPr>
        <w:spacing w:line="240" w:lineRule="auto"/>
        <w:ind w:firstLine="640"/>
        <w:jc w:val="both"/>
      </w:pPr>
      <w:r>
        <w:rPr>
          <w:rFonts w:ascii="仿宋_GB2312" w:hAnsi="仿宋_GB2312" w:eastAsia="仿宋_GB2312"/>
          <w:b w:val="0"/>
          <w:sz w:val="32"/>
        </w:rPr>
        <w:t>五、《一般公共预算财政拨款支出决算表》</w:t>
      </w:r>
    </w:p>
    <w:p w14:paraId="13A685D1">
      <w:pPr>
        <w:spacing w:line="240" w:lineRule="auto"/>
        <w:ind w:firstLine="640"/>
        <w:jc w:val="both"/>
      </w:pPr>
      <w:r>
        <w:rPr>
          <w:rFonts w:ascii="仿宋_GB2312" w:hAnsi="仿宋_GB2312" w:eastAsia="仿宋_GB2312"/>
          <w:b w:val="0"/>
          <w:sz w:val="32"/>
        </w:rPr>
        <w:t>六、《一般公共预算财政拨款基本支出决算表》</w:t>
      </w:r>
    </w:p>
    <w:p w14:paraId="2112CA1D">
      <w:pPr>
        <w:spacing w:line="240" w:lineRule="auto"/>
        <w:ind w:firstLine="640"/>
        <w:jc w:val="both"/>
      </w:pPr>
      <w:r>
        <w:rPr>
          <w:rFonts w:ascii="仿宋_GB2312" w:hAnsi="仿宋_GB2312" w:eastAsia="仿宋_GB2312"/>
          <w:b w:val="0"/>
          <w:sz w:val="32"/>
        </w:rPr>
        <w:t>七、《政府性基金预算财政拨款收入支出决算表》</w:t>
      </w:r>
    </w:p>
    <w:p w14:paraId="5F4D05BA">
      <w:pPr>
        <w:spacing w:line="240" w:lineRule="auto"/>
        <w:ind w:firstLine="640"/>
        <w:jc w:val="both"/>
      </w:pPr>
      <w:r>
        <w:rPr>
          <w:rFonts w:ascii="仿宋_GB2312" w:hAnsi="仿宋_GB2312" w:eastAsia="仿宋_GB2312"/>
          <w:b w:val="0"/>
          <w:sz w:val="32"/>
        </w:rPr>
        <w:t>八、《国有资本经营预算财政拨款收入支出决算表》</w:t>
      </w:r>
    </w:p>
    <w:p w14:paraId="21BFBCCF">
      <w:pPr>
        <w:spacing w:line="240" w:lineRule="auto"/>
        <w:ind w:firstLine="640"/>
        <w:jc w:val="both"/>
      </w:pPr>
      <w:r>
        <w:rPr>
          <w:rFonts w:ascii="仿宋_GB2312" w:hAnsi="仿宋_GB2312" w:eastAsia="仿宋_GB2312"/>
          <w:b w:val="0"/>
          <w:sz w:val="32"/>
        </w:rPr>
        <w:t>九、《财政拨款“三公”经费支出决算表》</w:t>
      </w:r>
    </w:p>
    <w:p w14:paraId="0B53F9A7">
      <w:pPr>
        <w:spacing w:line="240" w:lineRule="auto"/>
        <w:ind w:firstLine="640"/>
        <w:jc w:val="both"/>
      </w:pPr>
    </w:p>
    <w:p w14:paraId="7870BE9F">
      <w:pPr>
        <w:spacing w:line="240" w:lineRule="auto"/>
        <w:ind w:firstLine="640"/>
        <w:jc w:val="both"/>
      </w:pPr>
    </w:p>
    <w:p w14:paraId="641B9A44">
      <w:pPr>
        <w:spacing w:line="240" w:lineRule="auto"/>
        <w:ind w:firstLine="640"/>
        <w:jc w:val="both"/>
      </w:pPr>
    </w:p>
    <w:p w14:paraId="49357FDE">
      <w:pPr>
        <w:spacing w:line="240" w:lineRule="auto"/>
        <w:ind w:firstLine="640"/>
        <w:jc w:val="both"/>
      </w:pPr>
    </w:p>
    <w:p w14:paraId="6730400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ADAC1ED-1188-43FF-A7EB-E8FE544D0BF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B583321-D8AC-4E9B-8EC2-2D83C2847BB3}"/>
  </w:font>
  <w:font w:name="仿宋_GB2312">
    <w:panose1 w:val="02010609030101010101"/>
    <w:charset w:val="86"/>
    <w:family w:val="modern"/>
    <w:pitch w:val="default"/>
    <w:sig w:usb0="00000001" w:usb1="080E0000" w:usb2="00000000" w:usb3="00000000" w:csb0="00040000" w:csb1="00000000"/>
    <w:embedRegular r:id="rId3" w:fontKey="{9FB12B74-1815-465E-8CF6-910D29A2564F}"/>
  </w:font>
  <w:font w:name="楷体_GB2312">
    <w:panose1 w:val="02010609030101010101"/>
    <w:charset w:val="86"/>
    <w:family w:val="auto"/>
    <w:pitch w:val="default"/>
    <w:sig w:usb0="00000001" w:usb1="080E0000" w:usb2="00000000" w:usb3="00000000" w:csb0="00040000" w:csb1="00000000"/>
    <w:embedRegular r:id="rId4" w:fontKey="{9A0D2693-5D35-4224-8FF1-D1F7BCE0798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8E96EDF"/>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5935B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6813</Words>
  <Characters>7749</Characters>
  <Lines>0</Lines>
  <Paragraphs>0</Paragraphs>
  <TotalTime>11</TotalTime>
  <ScaleCrop>false</ScaleCrop>
  <LinksUpToDate>false</LinksUpToDate>
  <CharactersWithSpaces>7757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2025-10-14T04:07:17Z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