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吉木萨尔县档案馆2024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BE956E3">
      <w:r>
        <w:br w:type="page"/>
      </w:r>
    </w:p>
    <w:p w14:paraId="6B4DC7BB">
      <w:pPr>
        <w:spacing w:line="640" w:lineRule="exact"/>
        <w:jc w:val="center"/>
        <w:outlineLvl w:val="1"/>
      </w:pPr>
      <w:r>
        <w:rPr>
          <w:rFonts w:ascii="黑体" w:hAnsi="黑体" w:eastAsia="黑体"/>
          <w:sz w:val="32"/>
        </w:rPr>
        <w:t>第一部分 单位概况</w:t>
      </w:r>
    </w:p>
    <w:p w14:paraId="5BFE13B2">
      <w:pPr>
        <w:spacing w:line="640" w:lineRule="exact"/>
        <w:ind w:firstLine="640"/>
        <w:jc w:val="both"/>
        <w:outlineLvl w:val="2"/>
      </w:pPr>
      <w:r>
        <w:rPr>
          <w:rFonts w:ascii="黑体" w:hAnsi="黑体" w:eastAsia="黑体"/>
          <w:sz w:val="32"/>
        </w:rPr>
        <w:t>一、主要职能</w:t>
      </w:r>
    </w:p>
    <w:p w14:paraId="36D1EA8E">
      <w:pPr>
        <w:spacing w:line="580" w:lineRule="exact"/>
        <w:ind w:firstLine="640"/>
        <w:jc w:val="both"/>
      </w:pPr>
      <w:r>
        <w:rPr>
          <w:rFonts w:ascii="仿宋_GB2312" w:hAnsi="仿宋_GB2312" w:eastAsia="仿宋_GB2312"/>
          <w:sz w:val="32"/>
        </w:rPr>
        <w:t>（1）贯彻执行党和国家、自治区、州关于档案工作的方针政策、法律法规，维护档案的完整与安全。</w:t>
      </w:r>
    </w:p>
    <w:p w14:paraId="2AF2C945">
      <w:pPr>
        <w:spacing w:line="580" w:lineRule="exact"/>
        <w:ind w:firstLine="640"/>
        <w:jc w:val="both"/>
      </w:pPr>
      <w:r>
        <w:rPr>
          <w:rFonts w:ascii="仿宋_GB2312" w:hAnsi="仿宋_GB2312" w:eastAsia="仿宋_GB2312"/>
          <w:sz w:val="32"/>
        </w:rPr>
        <w:t>（2）负责编制档案接收保管利用工作规划和年度计划。</w:t>
      </w:r>
    </w:p>
    <w:p w14:paraId="705E706A">
      <w:pPr>
        <w:spacing w:line="580" w:lineRule="exact"/>
        <w:ind w:firstLine="640"/>
        <w:jc w:val="both"/>
      </w:pPr>
      <w:r>
        <w:rPr>
          <w:rFonts w:ascii="仿宋_GB2312" w:hAnsi="仿宋_GB2312" w:eastAsia="仿宋_GB2312"/>
          <w:sz w:val="32"/>
        </w:rPr>
        <w:t>（3）负责接收县本级党政机关、团体、企事业单位和其他组织的档案资料，接收本行政区域内重大活动、重特大事件档案资料，征集重要档案资料、红色档案资料。</w:t>
      </w:r>
    </w:p>
    <w:p w14:paraId="29818F08">
      <w:pPr>
        <w:spacing w:line="580" w:lineRule="exact"/>
        <w:ind w:firstLine="640"/>
        <w:jc w:val="both"/>
      </w:pPr>
      <w:r>
        <w:rPr>
          <w:rFonts w:ascii="仿宋_GB2312" w:hAnsi="仿宋_GB2312" w:eastAsia="仿宋_GB2312"/>
          <w:sz w:val="32"/>
        </w:rPr>
        <w:t>（4）负责馆藏档案资料的保管、整理、鉴定、保护、修复、抢救、统计、销毁等工作。</w:t>
      </w:r>
    </w:p>
    <w:p w14:paraId="6B2F4986">
      <w:pPr>
        <w:spacing w:line="580" w:lineRule="exact"/>
        <w:ind w:firstLine="640"/>
        <w:jc w:val="both"/>
      </w:pPr>
      <w:r>
        <w:rPr>
          <w:rFonts w:ascii="仿宋_GB2312" w:hAnsi="仿宋_GB2312" w:eastAsia="仿宋_GB2312"/>
          <w:sz w:val="32"/>
        </w:rPr>
        <w:t>（5）负责档案信息化建设和重要电子档案资源接收、存储以及数字化运用工作。</w:t>
      </w:r>
    </w:p>
    <w:p w14:paraId="3484B3DC">
      <w:pPr>
        <w:spacing w:line="580" w:lineRule="exact"/>
        <w:ind w:firstLine="640"/>
        <w:jc w:val="both"/>
      </w:pPr>
      <w:r>
        <w:rPr>
          <w:rFonts w:ascii="仿宋_GB2312" w:hAnsi="仿宋_GB2312" w:eastAsia="仿宋_GB2312"/>
          <w:sz w:val="32"/>
        </w:rPr>
        <w:t>（6）依法公布档案，负责馆藏档案资料的开发、查阅、利用服务工作。</w:t>
      </w:r>
    </w:p>
    <w:p w14:paraId="4DE53E49">
      <w:pPr>
        <w:spacing w:line="580" w:lineRule="exact"/>
        <w:ind w:firstLine="640"/>
        <w:jc w:val="both"/>
      </w:pPr>
      <w:r>
        <w:rPr>
          <w:rFonts w:ascii="仿宋_GB2312" w:hAnsi="仿宋_GB2312" w:eastAsia="仿宋_GB2312"/>
          <w:sz w:val="32"/>
        </w:rPr>
        <w:t>（7）负责研究、编纂、出版档案史料。</w:t>
      </w:r>
    </w:p>
    <w:p w14:paraId="40E69BBB">
      <w:pPr>
        <w:spacing w:line="580" w:lineRule="exact"/>
        <w:ind w:firstLine="640"/>
        <w:jc w:val="both"/>
      </w:pPr>
      <w:r>
        <w:rPr>
          <w:rFonts w:ascii="仿宋_GB2312" w:hAnsi="仿宋_GB2312" w:eastAsia="仿宋_GB2312"/>
          <w:sz w:val="32"/>
        </w:rPr>
        <w:t>（8）完成县党委办公室（县党委政策研究室、县档案局）交办的其他任务。</w:t>
      </w:r>
    </w:p>
    <w:p w14:paraId="6A81E624">
      <w:pPr>
        <w:spacing w:line="640" w:lineRule="exact"/>
        <w:ind w:firstLine="640"/>
        <w:jc w:val="both"/>
        <w:outlineLvl w:val="2"/>
      </w:pPr>
      <w:r>
        <w:rPr>
          <w:rFonts w:ascii="黑体" w:hAnsi="黑体" w:eastAsia="黑体"/>
          <w:sz w:val="32"/>
        </w:rPr>
        <w:t>二、机构设置及人员情况</w:t>
      </w:r>
    </w:p>
    <w:p w14:paraId="4362E7AD">
      <w:pPr>
        <w:spacing w:line="580" w:lineRule="exact"/>
        <w:ind w:firstLine="640"/>
        <w:jc w:val="both"/>
      </w:pPr>
      <w:r>
        <w:rPr>
          <w:rFonts w:ascii="仿宋_GB2312" w:hAnsi="仿宋_GB2312" w:eastAsia="仿宋_GB2312"/>
          <w:sz w:val="32"/>
        </w:rPr>
        <w:t>吉木萨尔县档案馆2024年度，实有人数20人，其中：在职人员10人，增加0人；离休人员0人，增加0人；退休人员10人,增加0人。</w:t>
      </w:r>
    </w:p>
    <w:p w14:paraId="1CB6422C">
      <w:pPr>
        <w:spacing w:line="580" w:lineRule="exact"/>
        <w:ind w:firstLine="640"/>
        <w:jc w:val="both"/>
      </w:pPr>
      <w:r>
        <w:rPr>
          <w:rFonts w:ascii="仿宋_GB2312" w:hAnsi="仿宋_GB2312" w:eastAsia="仿宋_GB2312"/>
          <w:sz w:val="32"/>
        </w:rPr>
        <w:t>吉木萨尔县档案馆无下属预算单位，下设1个科室，分别是：办公室。</w:t>
      </w:r>
    </w:p>
    <w:p w14:paraId="7C2CBBB4">
      <w:r>
        <w:br w:type="page"/>
      </w:r>
    </w:p>
    <w:p w14:paraId="1BF0D1AC">
      <w:pPr>
        <w:spacing w:line="240" w:lineRule="auto"/>
        <w:jc w:val="center"/>
        <w:outlineLvl w:val="1"/>
      </w:pPr>
      <w:r>
        <w:rPr>
          <w:rFonts w:ascii="黑体" w:hAnsi="黑体" w:eastAsia="黑体"/>
          <w:sz w:val="32"/>
        </w:rPr>
        <w:t>第二部分 部门决算情况说明</w:t>
      </w:r>
    </w:p>
    <w:p w14:paraId="6C8A0A79">
      <w:pPr>
        <w:spacing w:line="640" w:lineRule="exact"/>
        <w:ind w:firstLine="640"/>
        <w:jc w:val="both"/>
        <w:outlineLvl w:val="2"/>
      </w:pPr>
      <w:r>
        <w:rPr>
          <w:rFonts w:ascii="黑体" w:hAnsi="黑体" w:eastAsia="黑体"/>
          <w:sz w:val="32"/>
        </w:rPr>
        <w:t>一、收入支出决算总体情况说明</w:t>
      </w:r>
    </w:p>
    <w:p w14:paraId="26C8DA8B">
      <w:pPr>
        <w:spacing w:line="580" w:lineRule="exact"/>
        <w:ind w:firstLine="640"/>
        <w:jc w:val="both"/>
      </w:pPr>
      <w:r>
        <w:rPr>
          <w:rFonts w:ascii="仿宋_GB2312" w:hAnsi="仿宋_GB2312" w:eastAsia="仿宋_GB2312"/>
          <w:b/>
          <w:sz w:val="32"/>
        </w:rPr>
        <w:t>2024年度收入总计250.20万元，</w:t>
      </w:r>
      <w:r>
        <w:rPr>
          <w:rFonts w:ascii="仿宋_GB2312" w:hAnsi="仿宋_GB2312" w:eastAsia="仿宋_GB2312"/>
          <w:b w:val="0"/>
          <w:sz w:val="32"/>
        </w:rPr>
        <w:t>其中：本年收入合计250.20万元，使用非财政拨款结余（含专用结余）0.00万元，年初结转和结余0.00万元。</w:t>
      </w:r>
    </w:p>
    <w:p w14:paraId="54728849">
      <w:pPr>
        <w:spacing w:line="580" w:lineRule="exact"/>
        <w:ind w:firstLine="640"/>
        <w:jc w:val="both"/>
      </w:pPr>
      <w:r>
        <w:rPr>
          <w:rFonts w:ascii="仿宋_GB2312" w:hAnsi="仿宋_GB2312" w:eastAsia="仿宋_GB2312"/>
          <w:b/>
          <w:sz w:val="32"/>
        </w:rPr>
        <w:t>2024年度支出总计250.20万元，</w:t>
      </w:r>
      <w:r>
        <w:rPr>
          <w:rFonts w:ascii="仿宋_GB2312" w:hAnsi="仿宋_GB2312" w:eastAsia="仿宋_GB2312"/>
          <w:b w:val="0"/>
          <w:sz w:val="32"/>
        </w:rPr>
        <w:t>其中：本年支出合计250.20万元，结余分配0.00万元，年末结转和结余0.01万元。</w:t>
      </w:r>
    </w:p>
    <w:p w14:paraId="13991722">
      <w:pPr>
        <w:spacing w:line="580" w:lineRule="exact"/>
        <w:ind w:firstLine="640"/>
        <w:jc w:val="both"/>
      </w:pPr>
      <w:r>
        <w:rPr>
          <w:rFonts w:ascii="仿宋_GB2312" w:hAnsi="仿宋_GB2312" w:eastAsia="仿宋_GB2312"/>
          <w:b w:val="0"/>
          <w:sz w:val="32"/>
        </w:rPr>
        <w:t>收入支出总体与上年相比，增加75.77万元，增长43.44%，主要原因是：2024年新增债务化解资金综合档案馆消防配套设施费用，导致经费较上年增加。</w:t>
      </w:r>
    </w:p>
    <w:p w14:paraId="5E3CBB56">
      <w:pPr>
        <w:spacing w:line="640" w:lineRule="exact"/>
        <w:ind w:firstLine="640"/>
        <w:jc w:val="both"/>
        <w:outlineLvl w:val="2"/>
      </w:pPr>
      <w:r>
        <w:rPr>
          <w:rFonts w:ascii="黑体" w:hAnsi="黑体" w:eastAsia="黑体"/>
          <w:sz w:val="32"/>
        </w:rPr>
        <w:t>二、收入决算情况说明</w:t>
      </w:r>
    </w:p>
    <w:p w14:paraId="1D9FE043">
      <w:pPr>
        <w:spacing w:line="580" w:lineRule="exact"/>
        <w:ind w:firstLine="640"/>
        <w:jc w:val="both"/>
      </w:pPr>
      <w:r>
        <w:rPr>
          <w:rFonts w:ascii="仿宋_GB2312" w:hAnsi="仿宋_GB2312" w:eastAsia="仿宋_GB2312"/>
          <w:b/>
          <w:sz w:val="32"/>
        </w:rPr>
        <w:t>本年收入250.20万元，</w:t>
      </w:r>
      <w:r>
        <w:rPr>
          <w:rFonts w:ascii="仿宋_GB2312" w:hAnsi="仿宋_GB2312" w:eastAsia="仿宋_GB2312"/>
          <w:b w:val="0"/>
          <w:sz w:val="32"/>
        </w:rPr>
        <w:t>其中：财政拨款收入246.00万元，占98.32%；上级补助收入0.00万元，占0.00%；事业收入0.00万元，占0.00%；经营收入0.00万元，占0.00%；附属单位上缴收入0.00万元，占0.00%；其他收入4.20万元，占1.68%。</w:t>
      </w:r>
    </w:p>
    <w:p w14:paraId="2E5EE239">
      <w:pPr>
        <w:spacing w:line="640" w:lineRule="exact"/>
        <w:ind w:firstLine="640"/>
        <w:jc w:val="both"/>
        <w:outlineLvl w:val="2"/>
      </w:pPr>
      <w:r>
        <w:rPr>
          <w:rFonts w:ascii="黑体" w:hAnsi="黑体" w:eastAsia="黑体"/>
          <w:sz w:val="32"/>
        </w:rPr>
        <w:t>三、支出决算情况说明</w:t>
      </w:r>
    </w:p>
    <w:p w14:paraId="4373B40B">
      <w:pPr>
        <w:spacing w:line="580" w:lineRule="exact"/>
        <w:ind w:firstLine="640"/>
        <w:jc w:val="both"/>
      </w:pPr>
      <w:r>
        <w:rPr>
          <w:rFonts w:ascii="仿宋_GB2312" w:hAnsi="仿宋_GB2312" w:eastAsia="仿宋_GB2312"/>
          <w:b/>
          <w:sz w:val="32"/>
        </w:rPr>
        <w:t>本年支出250.20万元，</w:t>
      </w:r>
      <w:r>
        <w:rPr>
          <w:rFonts w:ascii="仿宋_GB2312" w:hAnsi="仿宋_GB2312" w:eastAsia="仿宋_GB2312"/>
          <w:b w:val="0"/>
          <w:sz w:val="32"/>
        </w:rPr>
        <w:t>其中：基本支出193.48万元，占77.33%；项目支出56.71万元，占22.67%；上缴上级支出0.00万元，占0.00%；经营支出0.00万元，占0.00%；对附属单位补助支出0.00万元，占0.00%。</w:t>
      </w:r>
    </w:p>
    <w:p w14:paraId="52FAC883">
      <w:pPr>
        <w:spacing w:line="640" w:lineRule="exact"/>
        <w:ind w:firstLine="640"/>
        <w:jc w:val="both"/>
        <w:outlineLvl w:val="2"/>
      </w:pPr>
      <w:r>
        <w:rPr>
          <w:rFonts w:ascii="黑体" w:hAnsi="黑体" w:eastAsia="黑体"/>
          <w:sz w:val="32"/>
        </w:rPr>
        <w:t>四、财政拨款收入支出决算总体情况说明</w:t>
      </w:r>
    </w:p>
    <w:p w14:paraId="30E3C196">
      <w:pPr>
        <w:spacing w:line="580" w:lineRule="exact"/>
        <w:ind w:firstLine="640"/>
        <w:jc w:val="both"/>
      </w:pPr>
      <w:r>
        <w:rPr>
          <w:rFonts w:ascii="仿宋_GB2312" w:hAnsi="仿宋_GB2312" w:eastAsia="仿宋_GB2312"/>
          <w:b/>
          <w:sz w:val="32"/>
        </w:rPr>
        <w:t>2024年度财政拨款收入总计246.00万元，</w:t>
      </w:r>
      <w:r>
        <w:rPr>
          <w:rFonts w:ascii="仿宋_GB2312" w:hAnsi="仿宋_GB2312" w:eastAsia="仿宋_GB2312"/>
          <w:b w:val="0"/>
          <w:sz w:val="32"/>
        </w:rPr>
        <w:t>其中：年初财政拨款结转和结余0.00万元，本年财政拨款收入246.00万元。</w:t>
      </w:r>
      <w:r>
        <w:rPr>
          <w:rFonts w:ascii="仿宋_GB2312" w:hAnsi="仿宋_GB2312" w:eastAsia="仿宋_GB2312"/>
          <w:b/>
          <w:sz w:val="32"/>
        </w:rPr>
        <w:t>财政拨款支出总计246.00万元，</w:t>
      </w:r>
      <w:r>
        <w:rPr>
          <w:rFonts w:ascii="仿宋_GB2312" w:hAnsi="仿宋_GB2312" w:eastAsia="仿宋_GB2312"/>
          <w:b w:val="0"/>
          <w:sz w:val="32"/>
        </w:rPr>
        <w:t>其中：年末财政拨款结转和结余0.00万元，本年财政拨款支出246.00万元。</w:t>
      </w:r>
    </w:p>
    <w:p w14:paraId="5A8D47D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增加71.57万元，增长41.03%，主要原因是：2024年新增债务化解资金综合档案馆消防配套设施费用，导致经费较上年增加。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年初预算数202.93万元，决算数246.00万元，预决算差异率21.22%，主要原因是：年中追加综合档案馆消防配套设施费用，导致预决算存在差异。</w:t>
      </w:r>
    </w:p>
    <w:p w14:paraId="0B61DA05">
      <w:pPr>
        <w:spacing w:line="640" w:lineRule="exact"/>
        <w:ind w:firstLine="640"/>
        <w:jc w:val="both"/>
        <w:outlineLvl w:val="2"/>
      </w:pPr>
      <w:r>
        <w:rPr>
          <w:rFonts w:ascii="黑体" w:hAnsi="黑体" w:eastAsia="黑体"/>
          <w:sz w:val="32"/>
        </w:rPr>
        <w:t>五、一般公共预算财政拨款支出决算情况说明</w:t>
      </w:r>
    </w:p>
    <w:p w14:paraId="2C1EB6A3">
      <w:pPr>
        <w:spacing w:line="640" w:lineRule="exact"/>
        <w:ind w:firstLine="640"/>
        <w:jc w:val="both"/>
        <w:outlineLvl w:val="3"/>
      </w:pPr>
      <w:r>
        <w:rPr>
          <w:rFonts w:ascii="楷体_GB2312" w:hAnsi="楷体_GB2312" w:eastAsia="楷体_GB2312"/>
          <w:b/>
          <w:sz w:val="32"/>
        </w:rPr>
        <w:t>（一）一般公共预算财政拨款支出决算总体情况</w:t>
      </w:r>
    </w:p>
    <w:p w14:paraId="0F2F9801">
      <w:pPr>
        <w:spacing w:line="580" w:lineRule="exact"/>
        <w:ind w:firstLine="640"/>
        <w:jc w:val="both"/>
      </w:pPr>
      <w:r>
        <w:rPr>
          <w:rFonts w:ascii="仿宋_GB2312" w:hAnsi="仿宋_GB2312" w:eastAsia="仿宋_GB2312"/>
          <w:b/>
          <w:sz w:val="32"/>
        </w:rPr>
        <w:t>2024年度一般公共预算财政拨款支出246.00万元，</w:t>
      </w:r>
      <w:r>
        <w:rPr>
          <w:rFonts w:ascii="仿宋_GB2312" w:hAnsi="仿宋_GB2312" w:eastAsia="仿宋_GB2312"/>
          <w:b w:val="0"/>
          <w:sz w:val="32"/>
        </w:rPr>
        <w:t>占本年支出合计的98.32%。</w:t>
      </w:r>
      <w:r>
        <w:rPr>
          <w:rFonts w:ascii="仿宋_GB2312" w:hAnsi="仿宋_GB2312" w:eastAsia="仿宋_GB2312"/>
          <w:b/>
          <w:sz w:val="32"/>
        </w:rPr>
        <w:t>与上年相比，</w:t>
      </w:r>
      <w:r>
        <w:rPr>
          <w:rFonts w:ascii="仿宋_GB2312" w:hAnsi="仿宋_GB2312" w:eastAsia="仿宋_GB2312"/>
          <w:b w:val="0"/>
          <w:sz w:val="32"/>
        </w:rPr>
        <w:t>增加71.57万元，增长41.03%，主要原因是：2024年新增债务化解资金综合档案馆消防配套设施费用，导致经费较上年增加。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年初预算数202.93万元，决算数246.00万元，预决算差异率21.22%，主要原因是：年中追加综合档案馆消防配套设施费用，导致预决算存在差异。</w:t>
      </w:r>
    </w:p>
    <w:p w14:paraId="49A200F8">
      <w:pPr>
        <w:spacing w:line="640" w:lineRule="exact"/>
        <w:ind w:firstLine="640"/>
        <w:jc w:val="both"/>
        <w:outlineLvl w:val="3"/>
      </w:pPr>
      <w:r>
        <w:rPr>
          <w:rFonts w:ascii="楷体_GB2312" w:hAnsi="楷体_GB2312" w:eastAsia="楷体_GB2312"/>
          <w:b/>
          <w:sz w:val="32"/>
        </w:rPr>
        <w:t>（二）一般公共预算财政拨款支出决算结构情况</w:t>
      </w:r>
    </w:p>
    <w:p w14:paraId="15B82C06">
      <w:pPr>
        <w:spacing w:line="580" w:lineRule="exact"/>
        <w:ind w:firstLine="640"/>
        <w:jc w:val="both"/>
      </w:pPr>
      <w:r>
        <w:rPr>
          <w:rFonts w:ascii="仿宋_GB2312" w:hAnsi="仿宋_GB2312" w:eastAsia="仿宋_GB2312"/>
          <w:b w:val="0"/>
          <w:sz w:val="32"/>
        </w:rPr>
        <w:t>1.一般公共服务支出(类)197.18万元,占80.15%。</w:t>
      </w:r>
    </w:p>
    <w:p w14:paraId="37C06197">
      <w:pPr>
        <w:spacing w:line="580" w:lineRule="exact"/>
        <w:ind w:firstLine="640"/>
        <w:jc w:val="both"/>
      </w:pPr>
      <w:r>
        <w:rPr>
          <w:rFonts w:ascii="仿宋_GB2312" w:hAnsi="仿宋_GB2312" w:eastAsia="仿宋_GB2312"/>
          <w:b w:val="0"/>
          <w:sz w:val="32"/>
        </w:rPr>
        <w:t>2.科学技术支出(类)2.40万元,占0.98%。</w:t>
      </w:r>
    </w:p>
    <w:p w14:paraId="30B70486">
      <w:pPr>
        <w:spacing w:line="580" w:lineRule="exact"/>
        <w:ind w:firstLine="640"/>
        <w:jc w:val="both"/>
      </w:pPr>
      <w:r>
        <w:rPr>
          <w:rFonts w:ascii="仿宋_GB2312" w:hAnsi="仿宋_GB2312" w:eastAsia="仿宋_GB2312"/>
          <w:b w:val="0"/>
          <w:sz w:val="32"/>
        </w:rPr>
        <w:t>3.社会保障和就业支出(类)27.94万元,占11.36%。</w:t>
      </w:r>
    </w:p>
    <w:p w14:paraId="3439AB59">
      <w:pPr>
        <w:spacing w:line="580" w:lineRule="exact"/>
        <w:ind w:firstLine="640"/>
        <w:jc w:val="both"/>
      </w:pPr>
      <w:r>
        <w:rPr>
          <w:rFonts w:ascii="仿宋_GB2312" w:hAnsi="仿宋_GB2312" w:eastAsia="仿宋_GB2312"/>
          <w:b w:val="0"/>
          <w:sz w:val="32"/>
        </w:rPr>
        <w:t>4.卫生健康支出(类)7.35万元,占2.99%。</w:t>
      </w:r>
    </w:p>
    <w:p w14:paraId="6DA724BA">
      <w:pPr>
        <w:spacing w:line="580" w:lineRule="exact"/>
        <w:ind w:firstLine="640"/>
        <w:jc w:val="both"/>
      </w:pPr>
      <w:r>
        <w:rPr>
          <w:rFonts w:ascii="仿宋_GB2312" w:hAnsi="仿宋_GB2312" w:eastAsia="仿宋_GB2312"/>
          <w:b w:val="0"/>
          <w:sz w:val="32"/>
        </w:rPr>
        <w:t>5.住房保障支出(类)11.13万元,占4.52%。</w:t>
      </w:r>
    </w:p>
    <w:p w14:paraId="6E4FC5AA">
      <w:pPr>
        <w:spacing w:line="640" w:lineRule="exact"/>
        <w:ind w:firstLine="640"/>
        <w:jc w:val="both"/>
        <w:outlineLvl w:val="3"/>
      </w:pPr>
      <w:r>
        <w:rPr>
          <w:rFonts w:ascii="楷体_GB2312" w:hAnsi="楷体_GB2312" w:eastAsia="楷体_GB2312"/>
          <w:b/>
          <w:sz w:val="32"/>
        </w:rPr>
        <w:t>（三）一般公共预算财政拨款支出决算具体情况</w:t>
      </w:r>
    </w:p>
    <w:p w14:paraId="0C187E69">
      <w:pPr>
        <w:spacing w:line="580" w:lineRule="exact"/>
        <w:ind w:firstLine="640"/>
        <w:jc w:val="both"/>
      </w:pPr>
      <w:r>
        <w:rPr>
          <w:rFonts w:ascii="仿宋_GB2312" w:hAnsi="仿宋_GB2312" w:eastAsia="仿宋_GB2312"/>
          <w:b w:val="0"/>
          <w:sz w:val="32"/>
        </w:rPr>
        <w:t>1.一般公共服务支出(类)档案事务(款)档案馆(项):支出决算数为191.54万元，比上年决算增加60.56万元，增长46.24%,主要原因是：2024年新增债务化解资金综合档案馆消防配套设施费用，导致经费较上年增加。</w:t>
      </w:r>
    </w:p>
    <w:p w14:paraId="4810D0E5">
      <w:pPr>
        <w:spacing w:line="580" w:lineRule="exact"/>
        <w:ind w:firstLine="640"/>
        <w:jc w:val="both"/>
      </w:pPr>
      <w:r>
        <w:rPr>
          <w:rFonts w:ascii="仿宋_GB2312" w:hAnsi="仿宋_GB2312" w:eastAsia="仿宋_GB2312"/>
          <w:b w:val="0"/>
          <w:sz w:val="32"/>
        </w:rPr>
        <w:t>2.一般公共服务支出(类)档案事务(款)其他档案事务支出(项):支出决算数为5.64万元，比上年决算增加5.64万元，增长100.00%,主要原因是：2024年新增综合档案馆建设项目咨询费，导致经费较上年增加。</w:t>
      </w:r>
    </w:p>
    <w:p w14:paraId="2FE5946D">
      <w:pPr>
        <w:spacing w:line="580" w:lineRule="exact"/>
        <w:ind w:firstLine="640"/>
        <w:jc w:val="both"/>
      </w:pPr>
      <w:r>
        <w:rPr>
          <w:rFonts w:ascii="仿宋_GB2312" w:hAnsi="仿宋_GB2312" w:eastAsia="仿宋_GB2312"/>
          <w:b w:val="0"/>
          <w:sz w:val="32"/>
        </w:rPr>
        <w:t>3.科学技术支出(类)科技条件与服务(款)其他科技条件与服务支出(项):支出决算数为2.40万元，比上年决算增加2.40万元，增长100.00%,主要原因是：2024年新增电脑替代化支出，导致经费较上年增加。</w:t>
      </w:r>
    </w:p>
    <w:p w14:paraId="3790132A">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4.社会保障和就业支出(类)行政事业单位养老支出(款)行政单位离退休(项):支出决算数为7.19万元，比上年决算增加4.30万元，增长148.79%,主要原因是：2024年增加退休人员基础绩效奖，退休费支出增加。</w:t>
      </w:r>
    </w:p>
    <w:p w14:paraId="0D83A24A">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13.84万元，比上年决算增加1.31万元，增长10.45%,主要原因是：2024年在职人员工资基数调增，养老缴费基数上涨，相应支出增加。</w:t>
      </w:r>
    </w:p>
    <w:p w14:paraId="09844474">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6.92万元，比上年决算增加0.66万元，增长10.54%,主要原因是：2024年人员工资调增，职业年金基数调整，导致职业年金增加。</w:t>
      </w:r>
    </w:p>
    <w:p w14:paraId="67848F1F">
      <w:pPr>
        <w:spacing w:line="580" w:lineRule="exact"/>
        <w:ind w:firstLine="640"/>
        <w:jc w:val="both"/>
      </w:pPr>
      <w:r>
        <w:rPr>
          <w:rFonts w:ascii="仿宋_GB2312" w:hAnsi="仿宋_GB2312" w:eastAsia="仿宋_GB2312"/>
          <w:b w:val="0"/>
          <w:sz w:val="32"/>
        </w:rPr>
        <w:t>7.卫生健康支出(类)行政事业单位医疗(款)行政单位医疗(项):支出决算数为6.92万元，比上年决算减少4.44万元，下降39.08%,主要原因是：因退休人员医疗保险制度改革，退休人员基本医疗不再由单位缴纳，导致经费较上年减少。</w:t>
      </w:r>
    </w:p>
    <w:p w14:paraId="6A3A5B20">
      <w:pPr>
        <w:spacing w:line="580" w:lineRule="exact"/>
        <w:ind w:firstLine="640"/>
        <w:jc w:val="both"/>
      </w:pPr>
      <w:r>
        <w:rPr>
          <w:rFonts w:ascii="仿宋_GB2312" w:hAnsi="仿宋_GB2312" w:eastAsia="仿宋_GB2312"/>
          <w:b w:val="0"/>
          <w:sz w:val="32"/>
        </w:rPr>
        <w:t>8.卫生健康支出(类)行政事业单位医疗(款)公务员医疗补助(项):支出决算数为0.43万元，比上年决算增加0.04万元，增长10.26%,主要原因是：本年在职人员工资基数调增，医疗缴费基数上涨，相应支出增加。</w:t>
      </w:r>
    </w:p>
    <w:p w14:paraId="0B48ACC0">
      <w:pPr>
        <w:spacing w:line="580" w:lineRule="exact"/>
        <w:ind w:firstLine="640"/>
        <w:jc w:val="both"/>
      </w:pPr>
      <w:r>
        <w:rPr>
          <w:rFonts w:ascii="仿宋_GB2312" w:hAnsi="仿宋_GB2312" w:eastAsia="仿宋_GB2312"/>
          <w:b w:val="0"/>
          <w:sz w:val="32"/>
        </w:rPr>
        <w:t>9.住房保障支出(类)住房改革支出(款)住房公积金(项):支出决算数为11.13万元，比上年决算增加1.11万元，增长11.08%,主要原因是：本年在职人员工资基数调增，公积金缴费基数上涨，相应支出增加。</w:t>
      </w:r>
    </w:p>
    <w:p w14:paraId="31145B77">
      <w:pPr>
        <w:spacing w:line="640" w:lineRule="exact"/>
        <w:ind w:firstLine="640"/>
        <w:jc w:val="both"/>
        <w:outlineLvl w:val="2"/>
      </w:pPr>
      <w:r>
        <w:rPr>
          <w:rFonts w:ascii="黑体" w:hAnsi="黑体" w:eastAsia="黑体"/>
          <w:sz w:val="32"/>
        </w:rPr>
        <w:t>六、一般公共预算财政拨款基本支出决算情况说明</w:t>
      </w:r>
    </w:p>
    <w:p w14:paraId="1E0D8CC5">
      <w:pPr>
        <w:spacing w:line="580" w:lineRule="exact"/>
        <w:ind w:firstLine="640"/>
        <w:jc w:val="both"/>
      </w:pPr>
      <w:r>
        <w:rPr>
          <w:rFonts w:ascii="仿宋_GB2312" w:hAnsi="仿宋_GB2312" w:eastAsia="仿宋_GB2312"/>
          <w:b w:val="0"/>
          <w:sz w:val="32"/>
        </w:rPr>
        <w:t>2024年度一般公共预算财政拨款基本支出189.28万元，其中：</w:t>
      </w:r>
      <w:r>
        <w:rPr>
          <w:rFonts w:ascii="仿宋_GB2312" w:hAnsi="仿宋_GB2312" w:eastAsia="仿宋_GB2312"/>
          <w:b/>
          <w:sz w:val="32"/>
        </w:rPr>
        <w:t>人员经费152.64万元，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奖励金、其他对个人和家庭的补助。</w:t>
      </w:r>
    </w:p>
    <w:p w14:paraId="5F8A687A">
      <w:pPr>
        <w:spacing w:line="580" w:lineRule="exact"/>
        <w:ind w:firstLine="640"/>
        <w:jc w:val="both"/>
      </w:pPr>
      <w:r>
        <w:rPr>
          <w:rFonts w:ascii="仿宋_GB2312" w:hAnsi="仿宋_GB2312" w:eastAsia="仿宋_GB2312"/>
          <w:b/>
          <w:sz w:val="32"/>
        </w:rPr>
        <w:t>公用经费36.64万元，</w:t>
      </w:r>
      <w:r>
        <w:rPr>
          <w:rFonts w:ascii="仿宋_GB2312" w:hAnsi="仿宋_GB2312" w:eastAsia="仿宋_GB2312"/>
          <w:b w:val="0"/>
          <w:sz w:val="32"/>
        </w:rPr>
        <w:t>包括：办公费、印刷费、邮电费、差</w:t>
      </w:r>
      <w:r>
        <w:rPr>
          <w:rFonts w:ascii="仿宋_GB2312" w:hAnsi="仿宋_GB2312" w:eastAsia="仿宋_GB2312"/>
          <w:b w:val="0"/>
          <w:spacing w:val="-6"/>
          <w:sz w:val="32"/>
        </w:rPr>
        <w:t>旅费、维修（护）费、租赁费、劳务费、工会经费、办公设备购置。</w:t>
      </w:r>
    </w:p>
    <w:p w14:paraId="416371D4">
      <w:pPr>
        <w:spacing w:line="640" w:lineRule="exact"/>
        <w:ind w:firstLine="640"/>
        <w:jc w:val="both"/>
        <w:outlineLvl w:val="2"/>
      </w:pPr>
      <w:r>
        <w:rPr>
          <w:rFonts w:ascii="黑体" w:hAnsi="黑体" w:eastAsia="黑体"/>
          <w:sz w:val="32"/>
        </w:rPr>
        <w:t>七、政府性基金预算财政拨款收入支出决算情况说明</w:t>
      </w:r>
    </w:p>
    <w:p w14:paraId="30165E8F">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62F9111">
      <w:pPr>
        <w:spacing w:line="640" w:lineRule="exact"/>
        <w:ind w:firstLine="640"/>
        <w:jc w:val="both"/>
        <w:outlineLvl w:val="2"/>
      </w:pPr>
      <w:r>
        <w:rPr>
          <w:rFonts w:ascii="黑体" w:hAnsi="黑体" w:eastAsia="黑体"/>
          <w:sz w:val="32"/>
        </w:rPr>
        <w:t>八、国有资本经营预算财政拨款收入支出决算情况说明</w:t>
      </w:r>
    </w:p>
    <w:p w14:paraId="3F121FF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9A345AB">
      <w:pPr>
        <w:spacing w:line="640" w:lineRule="exact"/>
        <w:ind w:firstLine="640"/>
        <w:jc w:val="both"/>
        <w:outlineLvl w:val="2"/>
      </w:pPr>
      <w:r>
        <w:rPr>
          <w:rFonts w:ascii="黑体" w:hAnsi="黑体" w:eastAsia="黑体"/>
          <w:sz w:val="32"/>
        </w:rPr>
        <w:t>九、财政拨款“三公”经费支出决算情况说明</w:t>
      </w:r>
    </w:p>
    <w:p w14:paraId="09A124AD">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37D0D71">
      <w:pPr>
        <w:spacing w:line="580" w:lineRule="exact"/>
        <w:ind w:firstLine="640"/>
        <w:jc w:val="both"/>
      </w:pPr>
      <w:r>
        <w:rPr>
          <w:rFonts w:ascii="仿宋_GB2312" w:hAnsi="仿宋_GB2312" w:eastAsia="仿宋_GB2312"/>
          <w:b/>
          <w:sz w:val="32"/>
        </w:rPr>
        <w:t>具体情况如下：</w:t>
      </w:r>
    </w:p>
    <w:p w14:paraId="7B23472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C60E0ED">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w:t>
      </w:r>
      <w:r>
        <w:rPr>
          <w:rFonts w:ascii="仿宋_GB2312" w:hAnsi="仿宋_GB2312" w:eastAsia="仿宋_GB2312"/>
          <w:b w:val="0"/>
          <w:spacing w:val="-6"/>
          <w:sz w:val="32"/>
        </w:rPr>
        <w:t>车辆0辆，与公务用车保有量差异原因是：本单位无固定资产车辆。</w:t>
      </w:r>
    </w:p>
    <w:p w14:paraId="02A5F11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9B9AEC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569FDB4E">
      <w:pPr>
        <w:spacing w:line="640" w:lineRule="exact"/>
        <w:ind w:firstLine="640"/>
        <w:jc w:val="both"/>
        <w:outlineLvl w:val="2"/>
      </w:pPr>
      <w:r>
        <w:rPr>
          <w:rFonts w:ascii="黑体" w:hAnsi="黑体" w:eastAsia="黑体"/>
          <w:sz w:val="32"/>
        </w:rPr>
        <w:t>十、其他重要事项的情况说明</w:t>
      </w:r>
    </w:p>
    <w:p w14:paraId="63E82D50">
      <w:pPr>
        <w:spacing w:line="640" w:lineRule="exact"/>
        <w:ind w:firstLine="640"/>
        <w:jc w:val="both"/>
        <w:outlineLvl w:val="3"/>
      </w:pPr>
      <w:r>
        <w:rPr>
          <w:rFonts w:ascii="楷体_GB2312" w:hAnsi="楷体_GB2312" w:eastAsia="楷体_GB2312"/>
          <w:b/>
          <w:sz w:val="32"/>
        </w:rPr>
        <w:t>（一）机关运行经费及公用经费支出情况</w:t>
      </w:r>
    </w:p>
    <w:p w14:paraId="19157BB9">
      <w:pPr>
        <w:spacing w:line="580" w:lineRule="exact"/>
        <w:ind w:firstLine="640"/>
        <w:jc w:val="both"/>
      </w:pPr>
      <w:r>
        <w:rPr>
          <w:rFonts w:ascii="仿宋_GB2312" w:hAnsi="仿宋_GB2312" w:eastAsia="仿宋_GB2312"/>
          <w:b w:val="0"/>
          <w:sz w:val="32"/>
        </w:rPr>
        <w:t>2024年度吉木萨尔县档案馆（行政单位和参照公务员法管理事业单位）机关运行经费支出36.64万元，比上年增加6.96万元，增长23.45%，主要原因是：新增电脑替代费用</w:t>
      </w:r>
      <w:r>
        <w:rPr>
          <w:rFonts w:hint="eastAsia" w:ascii="仿宋_GB2312" w:hAnsi="仿宋_GB2312" w:eastAsia="仿宋_GB2312"/>
          <w:b w:val="0"/>
          <w:sz w:val="32"/>
          <w:lang w:val="en-US" w:eastAsia="zh-CN"/>
        </w:rPr>
        <w:t>,增加设备购置经费，导致机关运行经费较上年增加</w:t>
      </w:r>
      <w:r>
        <w:rPr>
          <w:rFonts w:ascii="仿宋_GB2312" w:hAnsi="仿宋_GB2312" w:eastAsia="仿宋_GB2312"/>
          <w:b w:val="0"/>
          <w:sz w:val="32"/>
        </w:rPr>
        <w:t>。</w:t>
      </w:r>
    </w:p>
    <w:p w14:paraId="4B643C87">
      <w:pPr>
        <w:spacing w:line="640" w:lineRule="exact"/>
        <w:ind w:firstLine="640"/>
        <w:jc w:val="both"/>
        <w:outlineLvl w:val="3"/>
      </w:pPr>
      <w:r>
        <w:rPr>
          <w:rFonts w:ascii="楷体_GB2312" w:hAnsi="楷体_GB2312" w:eastAsia="楷体_GB2312"/>
          <w:b/>
          <w:sz w:val="32"/>
        </w:rPr>
        <w:t>（二）政府采购情况</w:t>
      </w:r>
    </w:p>
    <w:p w14:paraId="4EF50748">
      <w:pPr>
        <w:spacing w:line="580" w:lineRule="exact"/>
        <w:ind w:firstLine="640"/>
        <w:jc w:val="both"/>
      </w:pPr>
      <w:r>
        <w:rPr>
          <w:rFonts w:ascii="仿宋_GB2312" w:hAnsi="仿宋_GB2312" w:eastAsia="仿宋_GB2312"/>
          <w:b w:val="0"/>
          <w:sz w:val="32"/>
        </w:rPr>
        <w:t>2024年度政府采购支出总额0.36万元，其中：政府采购货物支出0.36万元、政府采购工程支出0.00万元、政府采购服务支出0.00万元。</w:t>
      </w:r>
    </w:p>
    <w:p w14:paraId="67C13B3C">
      <w:pPr>
        <w:spacing w:line="580" w:lineRule="exact"/>
        <w:ind w:firstLine="640"/>
        <w:jc w:val="both"/>
      </w:pPr>
      <w:r>
        <w:rPr>
          <w:rFonts w:ascii="仿宋_GB2312" w:hAnsi="仿宋_GB2312" w:eastAsia="仿宋_GB2312"/>
          <w:b w:val="0"/>
          <w:sz w:val="32"/>
        </w:rPr>
        <w:t>授予中小企业合同金额0.36万元，占政府采购支出总额的100.00%，其中：授予小微企业合同金额0.36万元，占政府采购支出总额的100.00%。</w:t>
      </w:r>
    </w:p>
    <w:p w14:paraId="2C93A2DE">
      <w:pPr>
        <w:spacing w:line="640" w:lineRule="exact"/>
        <w:ind w:firstLine="640"/>
        <w:jc w:val="both"/>
        <w:outlineLvl w:val="3"/>
      </w:pPr>
      <w:r>
        <w:rPr>
          <w:rFonts w:ascii="楷体_GB2312" w:hAnsi="楷体_GB2312" w:eastAsia="楷体_GB2312"/>
          <w:b/>
          <w:sz w:val="32"/>
        </w:rPr>
        <w:t>（三）国有资产占用情况说明</w:t>
      </w:r>
    </w:p>
    <w:p w14:paraId="5507A02D">
      <w:pPr>
        <w:spacing w:line="580" w:lineRule="exact"/>
        <w:ind w:firstLine="640"/>
        <w:jc w:val="both"/>
      </w:pPr>
      <w:r>
        <w:rPr>
          <w:rFonts w:ascii="仿宋_GB2312" w:hAnsi="仿宋_GB2312" w:eastAsia="仿宋_GB2312"/>
          <w:b w:val="0"/>
          <w:sz w:val="32"/>
        </w:rPr>
        <w:t>截至2024年12月31日，房屋2,847.06平方米，价值637.74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1DAD2DB5">
      <w:pPr>
        <w:spacing w:line="640" w:lineRule="exact"/>
        <w:ind w:firstLine="640"/>
        <w:jc w:val="both"/>
        <w:outlineLvl w:val="2"/>
      </w:pPr>
      <w:r>
        <w:rPr>
          <w:rFonts w:ascii="黑体" w:hAnsi="黑体" w:eastAsia="黑体"/>
          <w:sz w:val="32"/>
        </w:rPr>
        <w:t>十一、预算绩效的情况说明</w:t>
      </w:r>
    </w:p>
    <w:p w14:paraId="75992EE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250.20万元，实际执行总额250.20万元；预算绩效评价项目3个，全年预算数56.71万元，全年执行数56.71万元。预算绩效管理取得的成效：一是强化理论学习，深化自身建设。二是加大档案宣传力度，提高法治意识。三是加强档案接收、鉴定、整理、保管、利用程序全过程管理，确保各类档案及时、完整、准确地接收进馆。发现的问题及原因：一是根据现有的档案馆藏数量，档案事业发展经费还有待增加；二是档案开发利用工作较薄弱，现仅仅能满足数字化档案的扫描、查阅利用，不能满足电子档案的接收；三是数字档案馆建设有待提高，需要进一步建设符合国家标准的数字档案馆。下一步改进措施：一是加强政府采购管理，明确采购品目，进一步规范采购程序。二是加快档案信息化建设，坚持“存量数字化、增量电子化”，逐步建立以档案数字资源为主导的档案资源体系。三是有效保障档案信息安全。持续优化档案信息化基础设施布局，切实筑牢档案安全防线，确保档案信息安全。四是加强推进档案在线利用服务。持续深化数字档案馆建设，打造符合标准的数字档案馆，使得档案惠民服务覆盖面不断扩大。具体附整体支出绩效自评表，项目支出绩效自评表。</w:t>
      </w:r>
    </w:p>
    <w:p w14:paraId="57BFB56F">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58274AE">
        <w:tblPrEx>
          <w:tblCellMar>
            <w:top w:w="0" w:type="dxa"/>
            <w:left w:w="108" w:type="dxa"/>
            <w:bottom w:w="0" w:type="dxa"/>
            <w:right w:w="108" w:type="dxa"/>
          </w:tblCellMar>
        </w:tblPrEx>
        <w:tc>
          <w:tcPr>
            <w:tcW w:w="8847" w:type="dxa"/>
            <w:gridSpan w:val="9"/>
            <w:vAlign w:val="center"/>
          </w:tcPr>
          <w:p w14:paraId="4548BF5F">
            <w:pPr>
              <w:jc w:val="center"/>
            </w:pPr>
            <w:r>
              <w:rPr>
                <w:rFonts w:ascii="宋体" w:hAnsi="宋体" w:eastAsia="宋体"/>
                <w:sz w:val="24"/>
              </w:rPr>
              <w:t>单位整体支出绩效自评表</w:t>
            </w:r>
          </w:p>
        </w:tc>
      </w:tr>
      <w:tr w14:paraId="2CCBC426">
        <w:tblPrEx>
          <w:tblCellMar>
            <w:top w:w="0" w:type="dxa"/>
            <w:left w:w="108" w:type="dxa"/>
            <w:bottom w:w="0" w:type="dxa"/>
            <w:right w:w="108" w:type="dxa"/>
          </w:tblCellMar>
        </w:tblPrEx>
        <w:tc>
          <w:tcPr>
            <w:tcW w:w="8847" w:type="dxa"/>
            <w:gridSpan w:val="9"/>
            <w:vAlign w:val="center"/>
          </w:tcPr>
          <w:p w14:paraId="07FA0F75">
            <w:pPr>
              <w:jc w:val="center"/>
            </w:pPr>
            <w:r>
              <w:rPr>
                <w:rFonts w:ascii="宋体" w:hAnsi="宋体" w:eastAsia="宋体"/>
                <w:sz w:val="24"/>
              </w:rPr>
              <w:t>（2024年度）</w:t>
            </w:r>
          </w:p>
        </w:tc>
      </w:tr>
      <w:tr w14:paraId="1B9DE37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21EB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3753C6C">
            <w:pPr>
              <w:jc w:val="center"/>
            </w:pPr>
            <w:r>
              <w:rPr>
                <w:rFonts w:ascii="宋体" w:hAnsi="宋体" w:eastAsia="宋体"/>
                <w:sz w:val="16"/>
              </w:rPr>
              <w:t>吉木萨尔县档案馆</w:t>
            </w:r>
          </w:p>
        </w:tc>
      </w:tr>
      <w:tr w14:paraId="1629370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8E138C">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32E0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9AA61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2EE8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8FD1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CB50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1ED8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6C724">
            <w:pPr>
              <w:jc w:val="center"/>
            </w:pPr>
            <w:r>
              <w:rPr>
                <w:rFonts w:ascii="宋体" w:hAnsi="宋体" w:eastAsia="宋体"/>
                <w:sz w:val="16"/>
              </w:rPr>
              <w:t>得分</w:t>
            </w:r>
          </w:p>
        </w:tc>
      </w:tr>
      <w:tr w14:paraId="5B556E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89CB6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E3C74">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01BE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810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2BE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0E8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645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C9239">
            <w:pPr>
              <w:jc w:val="center"/>
            </w:pPr>
            <w:r>
              <w:rPr>
                <w:rFonts w:ascii="宋体" w:hAnsi="宋体" w:eastAsia="宋体"/>
                <w:sz w:val="16"/>
              </w:rPr>
              <w:t>-</w:t>
            </w:r>
          </w:p>
        </w:tc>
      </w:tr>
      <w:tr w14:paraId="421ABB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BD0F6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1DCF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39D85">
            <w:pPr>
              <w:jc w:val="center"/>
            </w:pPr>
            <w:r>
              <w:rPr>
                <w:rFonts w:ascii="宋体" w:hAnsi="宋体" w:eastAsia="宋体"/>
                <w:sz w:val="16"/>
              </w:rPr>
              <w:t>202.93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C7C38">
            <w:pPr>
              <w:jc w:val="center"/>
            </w:pPr>
            <w:r>
              <w:rPr>
                <w:rFonts w:ascii="宋体" w:hAnsi="宋体" w:eastAsia="宋体"/>
                <w:sz w:val="16"/>
              </w:rPr>
              <w:t>250.20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EF74A">
            <w:pPr>
              <w:jc w:val="center"/>
            </w:pPr>
            <w:r>
              <w:rPr>
                <w:rFonts w:ascii="宋体" w:hAnsi="宋体" w:eastAsia="宋体"/>
                <w:sz w:val="16"/>
              </w:rPr>
              <w:t>250.20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B69E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A1F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F08A8">
            <w:pPr>
              <w:jc w:val="center"/>
            </w:pPr>
            <w:r>
              <w:rPr>
                <w:rFonts w:ascii="宋体" w:hAnsi="宋体" w:eastAsia="宋体"/>
                <w:sz w:val="16"/>
              </w:rPr>
              <w:t>-</w:t>
            </w:r>
          </w:p>
        </w:tc>
      </w:tr>
      <w:tr w14:paraId="6E6A1B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D990B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2583F">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3D4B8">
            <w:pPr>
              <w:jc w:val="center"/>
            </w:pPr>
            <w:r>
              <w:rPr>
                <w:rFonts w:ascii="宋体" w:hAnsi="宋体" w:eastAsia="宋体"/>
                <w:sz w:val="16"/>
              </w:rPr>
              <w:t>1.51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1A4F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265B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F79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97C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70B52">
            <w:pPr>
              <w:jc w:val="center"/>
            </w:pPr>
            <w:r>
              <w:rPr>
                <w:rFonts w:ascii="宋体" w:hAnsi="宋体" w:eastAsia="宋体"/>
                <w:sz w:val="16"/>
              </w:rPr>
              <w:t>-</w:t>
            </w:r>
          </w:p>
        </w:tc>
      </w:tr>
      <w:tr w14:paraId="70C65F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E0C87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8310E">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3CA05">
            <w:pPr>
              <w:jc w:val="center"/>
            </w:pPr>
            <w:r>
              <w:rPr>
                <w:rFonts w:ascii="宋体" w:hAnsi="宋体" w:eastAsia="宋体"/>
                <w:sz w:val="16"/>
              </w:rPr>
              <w:t>204.44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5228F">
            <w:pPr>
              <w:jc w:val="center"/>
            </w:pPr>
            <w:r>
              <w:rPr>
                <w:rFonts w:ascii="宋体" w:hAnsi="宋体" w:eastAsia="宋体"/>
                <w:sz w:val="16"/>
              </w:rPr>
              <w:t>250.20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78DBE">
            <w:pPr>
              <w:jc w:val="center"/>
            </w:pPr>
            <w:r>
              <w:rPr>
                <w:rFonts w:ascii="宋体" w:hAnsi="宋体" w:eastAsia="宋体"/>
                <w:sz w:val="16"/>
              </w:rPr>
              <w:t>250.20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FEAE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D76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B7AEA">
            <w:pPr>
              <w:jc w:val="center"/>
            </w:pPr>
            <w:r>
              <w:rPr>
                <w:rFonts w:ascii="宋体" w:hAnsi="宋体" w:eastAsia="宋体"/>
                <w:sz w:val="16"/>
              </w:rPr>
              <w:t>10</w:t>
            </w:r>
          </w:p>
        </w:tc>
      </w:tr>
      <w:tr w14:paraId="2584519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7A8D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FCA2E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2DAACF">
            <w:pPr>
              <w:jc w:val="center"/>
            </w:pPr>
            <w:r>
              <w:rPr>
                <w:rFonts w:ascii="宋体" w:hAnsi="宋体" w:eastAsia="宋体"/>
                <w:sz w:val="16"/>
              </w:rPr>
              <w:t>实际完成情况</w:t>
            </w:r>
          </w:p>
        </w:tc>
      </w:tr>
      <w:tr w14:paraId="7A6906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FEA53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979E3F">
            <w:pPr>
              <w:jc w:val="both"/>
            </w:pPr>
            <w:r>
              <w:rPr>
                <w:rFonts w:ascii="宋体" w:hAnsi="宋体" w:eastAsia="宋体"/>
                <w:sz w:val="16"/>
              </w:rPr>
              <w:t>保障本单位9名在职人员工资、津贴、社保、医疗、住房公积金和10名退休人员交通补助、独生子女奖励金；保障本单位办公费、工会经费等运行费用正常运转；保障档案保护利用业务正常开展。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87A8B6">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250.2万元，全年实际支出资金250.2万元，预算执行率为100%，其中：基本支出全年预算数为193.49万元，实际支出资金193.49万元；项目支出全年预算数为56.71万元，实际支出资金56.71万元。保障本单位10名在职人员工资、津贴、社保、医保、住房公积金和10名退休人员交通补助、独生子女奖励金，1名政府购买</w:t>
            </w:r>
            <w:r>
              <w:rPr>
                <w:rFonts w:hint="eastAsia" w:ascii="宋体" w:hAnsi="宋体"/>
                <w:sz w:val="16"/>
                <w:lang w:eastAsia="zh-CN"/>
              </w:rPr>
              <w:t>岗位</w:t>
            </w:r>
            <w:r>
              <w:rPr>
                <w:rFonts w:ascii="宋体" w:hAnsi="宋体" w:eastAsia="宋体"/>
                <w:sz w:val="16"/>
              </w:rPr>
              <w:t>人员的工资、绩效、医保、社保；保障本单位办公费、工会经费等运行费用正常运转；保障档案业务正常开展。</w:t>
            </w:r>
          </w:p>
        </w:tc>
      </w:tr>
      <w:tr w14:paraId="26A16F5A">
        <w:tblPrEx>
          <w:tblCellMar>
            <w:top w:w="0" w:type="dxa"/>
            <w:left w:w="108" w:type="dxa"/>
            <w:bottom w:w="0" w:type="dxa"/>
            <w:right w:w="108" w:type="dxa"/>
          </w:tblCellMar>
        </w:tblPrEx>
        <w:trPr>
          <w:trHeight w:val="907" w:hRule="atLeas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6556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67143">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D5CC7">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D4487">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30D6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23D2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EB250">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BAA05">
            <w:pPr>
              <w:jc w:val="center"/>
            </w:pPr>
            <w:r>
              <w:rPr>
                <w:rFonts w:ascii="宋体" w:hAnsi="宋体" w:eastAsia="宋体"/>
                <w:sz w:val="16"/>
              </w:rPr>
              <w:t>得分</w:t>
            </w:r>
          </w:p>
        </w:tc>
      </w:tr>
      <w:tr w14:paraId="22991E16">
        <w:tblPrEx>
          <w:tblCellMar>
            <w:top w:w="0" w:type="dxa"/>
            <w:left w:w="108" w:type="dxa"/>
            <w:bottom w:w="0" w:type="dxa"/>
            <w:right w:w="108" w:type="dxa"/>
          </w:tblCellMar>
        </w:tblPrEx>
        <w:trPr>
          <w:trHeight w:val="907" w:hRule="atLeas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C39ED">
            <w:pPr>
              <w:jc w:val="center"/>
            </w:pPr>
            <w:r>
              <w:rPr>
                <w:rFonts w:ascii="宋体" w:hAnsi="宋体" w:eastAsia="宋体"/>
                <w:sz w:val="16"/>
              </w:rPr>
              <w:t>管理效率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8DEE7">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5F9D3">
            <w:pPr>
              <w:jc w:val="center"/>
            </w:pPr>
            <w:r>
              <w:rPr>
                <w:rFonts w:ascii="宋体" w:hAnsi="宋体" w:eastAsia="宋体"/>
                <w:sz w:val="16"/>
              </w:rPr>
              <w:t>纸质档案保护率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565E2">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87193">
            <w:pPr>
              <w:jc w:val="center"/>
            </w:pPr>
            <w:r>
              <w:rPr>
                <w:rFonts w:ascii="宋体" w:hAnsi="宋体" w:eastAsia="宋体"/>
                <w:sz w:val="16"/>
              </w:rPr>
              <w:t>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10CC7">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93D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7FBEE">
            <w:pPr>
              <w:jc w:val="center"/>
            </w:pPr>
            <w:r>
              <w:rPr>
                <w:rFonts w:ascii="宋体" w:hAnsi="宋体" w:eastAsia="宋体"/>
                <w:sz w:val="16"/>
              </w:rPr>
              <w:t>30</w:t>
            </w:r>
          </w:p>
        </w:tc>
      </w:tr>
      <w:tr w14:paraId="70786140">
        <w:tblPrEx>
          <w:tblCellMar>
            <w:top w:w="0" w:type="dxa"/>
            <w:left w:w="108" w:type="dxa"/>
            <w:bottom w:w="0" w:type="dxa"/>
            <w:right w:w="108" w:type="dxa"/>
          </w:tblCellMar>
        </w:tblPrEx>
        <w:trPr>
          <w:trHeight w:val="907"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47CDC9">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2BCF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1E8FB">
            <w:pPr>
              <w:jc w:val="center"/>
            </w:pPr>
            <w:r>
              <w:rPr>
                <w:rFonts w:ascii="宋体" w:hAnsi="宋体" w:eastAsia="宋体"/>
                <w:sz w:val="16"/>
              </w:rPr>
              <w:t>完成档案查阅利用人次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D0D37">
            <w:pPr>
              <w:jc w:val="center"/>
            </w:pPr>
            <w:r>
              <w:rPr>
                <w:rFonts w:ascii="宋体" w:hAnsi="宋体" w:eastAsia="宋体"/>
                <w:sz w:val="16"/>
              </w:rPr>
              <w:t>&gt;=1000人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C0A9B4">
            <w:pPr>
              <w:jc w:val="center"/>
            </w:pPr>
            <w:r>
              <w:rPr>
                <w:rFonts w:ascii="宋体" w:hAnsi="宋体" w:eastAsia="宋体"/>
                <w:sz w:val="16"/>
              </w:rPr>
              <w:t>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EE1CA">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EEFBE">
            <w:pPr>
              <w:jc w:val="center"/>
            </w:pPr>
            <w:r>
              <w:rPr>
                <w:rFonts w:ascii="宋体" w:hAnsi="宋体" w:eastAsia="宋体"/>
                <w:sz w:val="16"/>
              </w:rPr>
              <w:t>=1144人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4976A">
            <w:pPr>
              <w:jc w:val="center"/>
            </w:pPr>
            <w:r>
              <w:rPr>
                <w:rFonts w:ascii="宋体" w:hAnsi="宋体" w:eastAsia="宋体"/>
                <w:sz w:val="16"/>
              </w:rPr>
              <w:t>30</w:t>
            </w:r>
          </w:p>
        </w:tc>
      </w:tr>
      <w:tr w14:paraId="2C7BA9A1">
        <w:tblPrEx>
          <w:tblCellMar>
            <w:top w:w="0" w:type="dxa"/>
            <w:left w:w="108" w:type="dxa"/>
            <w:bottom w:w="0" w:type="dxa"/>
            <w:right w:w="108" w:type="dxa"/>
          </w:tblCellMar>
        </w:tblPrEx>
        <w:trPr>
          <w:trHeight w:val="907"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CE57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52974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E2D9F">
            <w:pPr>
              <w:jc w:val="center"/>
            </w:pPr>
            <w:r>
              <w:rPr>
                <w:rFonts w:ascii="宋体" w:hAnsi="宋体" w:eastAsia="宋体"/>
                <w:sz w:val="16"/>
              </w:rPr>
              <w:t>完成档案法律法规宣传次数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188526">
            <w:pPr>
              <w:jc w:val="center"/>
            </w:pPr>
            <w:r>
              <w:rPr>
                <w:rFonts w:ascii="宋体" w:hAnsi="宋体" w:eastAsia="宋体"/>
                <w:sz w:val="16"/>
              </w:rPr>
              <w:t>&gt;=1场次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E1CCE">
            <w:pPr>
              <w:jc w:val="center"/>
            </w:pPr>
            <w:r>
              <w:rPr>
                <w:rFonts w:ascii="宋体" w:hAnsi="宋体" w:eastAsia="宋体"/>
                <w:sz w:val="16"/>
              </w:rPr>
              <w:t>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5D17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1EFF6">
            <w:pPr>
              <w:jc w:val="center"/>
            </w:pPr>
            <w:r>
              <w:rPr>
                <w:rFonts w:ascii="宋体" w:hAnsi="宋体" w:eastAsia="宋体"/>
                <w:sz w:val="16"/>
              </w:rPr>
              <w:t>=8场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212E3">
            <w:pPr>
              <w:jc w:val="center"/>
            </w:pPr>
            <w:r>
              <w:rPr>
                <w:rFonts w:ascii="宋体" w:hAnsi="宋体" w:eastAsia="宋体"/>
                <w:sz w:val="16"/>
              </w:rPr>
              <w:t>20</w:t>
            </w:r>
          </w:p>
        </w:tc>
      </w:tr>
      <w:tr w14:paraId="434BCE93">
        <w:tblPrEx>
          <w:tblCellMar>
            <w:top w:w="0" w:type="dxa"/>
            <w:left w:w="108" w:type="dxa"/>
            <w:bottom w:w="0" w:type="dxa"/>
            <w:right w:w="108" w:type="dxa"/>
          </w:tblCellMar>
        </w:tblPrEx>
        <w:trPr>
          <w:trHeight w:val="907" w:hRule="atLeas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400A3">
            <w:pPr>
              <w:jc w:val="center"/>
            </w:pPr>
            <w:r>
              <w:rPr>
                <w:rFonts w:ascii="宋体" w:hAnsi="宋体" w:eastAsia="宋体"/>
                <w:sz w:val="16"/>
              </w:rPr>
              <w:t>社会效益</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417E9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A0CA1">
            <w:pPr>
              <w:jc w:val="center"/>
            </w:pPr>
            <w:r>
              <w:rPr>
                <w:rFonts w:ascii="宋体" w:hAnsi="宋体" w:eastAsia="宋体"/>
                <w:sz w:val="16"/>
              </w:rPr>
              <w:t>受益人数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AA078">
            <w:pPr>
              <w:jc w:val="center"/>
            </w:pPr>
            <w:r>
              <w:rPr>
                <w:rFonts w:ascii="宋体" w:hAnsi="宋体" w:eastAsia="宋体"/>
                <w:sz w:val="16"/>
              </w:rPr>
              <w:t>&gt;=1000人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2F648">
            <w:pPr>
              <w:jc w:val="center"/>
            </w:pPr>
            <w:r>
              <w:rPr>
                <w:rFonts w:ascii="宋体" w:hAnsi="宋体" w:eastAsia="宋体"/>
                <w:sz w:val="16"/>
              </w:rPr>
              <w:t>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9A6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A9760">
            <w:pPr>
              <w:jc w:val="center"/>
            </w:pPr>
            <w:r>
              <w:rPr>
                <w:rFonts w:ascii="宋体" w:hAnsi="宋体" w:eastAsia="宋体"/>
                <w:sz w:val="16"/>
              </w:rPr>
              <w:t>=1144人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475FE8">
            <w:pPr>
              <w:jc w:val="center"/>
            </w:pPr>
            <w:r>
              <w:rPr>
                <w:rFonts w:ascii="宋体" w:hAnsi="宋体" w:eastAsia="宋体"/>
                <w:sz w:val="16"/>
              </w:rPr>
              <w:t>10</w:t>
            </w:r>
          </w:p>
        </w:tc>
      </w:tr>
    </w:tbl>
    <w:p w14:paraId="5D23698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6477ED67">
        <w:tblPrEx>
          <w:tblCellMar>
            <w:top w:w="0" w:type="dxa"/>
            <w:left w:w="108" w:type="dxa"/>
            <w:bottom w:w="0" w:type="dxa"/>
            <w:right w:w="108" w:type="dxa"/>
          </w:tblCellMar>
        </w:tblPrEx>
        <w:tc>
          <w:tcPr>
            <w:tcW w:w="8848" w:type="dxa"/>
            <w:gridSpan w:val="14"/>
            <w:vAlign w:val="center"/>
          </w:tcPr>
          <w:p w14:paraId="2D579C01">
            <w:pPr>
              <w:jc w:val="center"/>
            </w:pPr>
            <w:r>
              <w:rPr>
                <w:rFonts w:ascii="宋体" w:hAnsi="宋体" w:eastAsia="宋体"/>
                <w:sz w:val="24"/>
              </w:rPr>
              <w:t>项目支出绩效自评表</w:t>
            </w:r>
          </w:p>
        </w:tc>
      </w:tr>
      <w:tr w14:paraId="7CD85FDD">
        <w:tblPrEx>
          <w:tblCellMar>
            <w:top w:w="0" w:type="dxa"/>
            <w:left w:w="108" w:type="dxa"/>
            <w:bottom w:w="0" w:type="dxa"/>
            <w:right w:w="108" w:type="dxa"/>
          </w:tblCellMar>
        </w:tblPrEx>
        <w:tc>
          <w:tcPr>
            <w:tcW w:w="8848" w:type="dxa"/>
            <w:gridSpan w:val="14"/>
            <w:vAlign w:val="center"/>
          </w:tcPr>
          <w:p w14:paraId="13CAEF7A">
            <w:pPr>
              <w:jc w:val="center"/>
            </w:pPr>
            <w:r>
              <w:rPr>
                <w:rFonts w:ascii="宋体" w:hAnsi="宋体" w:eastAsia="宋体"/>
                <w:sz w:val="24"/>
              </w:rPr>
              <w:t>(2024年度)</w:t>
            </w:r>
          </w:p>
        </w:tc>
      </w:tr>
      <w:tr w14:paraId="437AAF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E6D5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7918FB9">
            <w:pPr>
              <w:jc w:val="center"/>
            </w:pPr>
            <w:r>
              <w:rPr>
                <w:rFonts w:ascii="宋体" w:hAnsi="宋体" w:eastAsia="宋体"/>
                <w:sz w:val="16"/>
              </w:rPr>
              <w:t>吉木萨尔县档案馆精准扶贫档案、</w:t>
            </w:r>
            <w:r>
              <w:rPr>
                <w:rFonts w:hint="eastAsia" w:ascii="宋体" w:hAnsi="宋体"/>
                <w:sz w:val="16"/>
                <w:lang w:eastAsia="zh-CN"/>
              </w:rPr>
              <w:t>新冠感染</w:t>
            </w:r>
            <w:bookmarkStart w:id="0" w:name="_GoBack"/>
            <w:r>
              <w:rPr>
                <w:rFonts w:hint="eastAsia" w:ascii="宋体" w:hAnsi="宋体"/>
                <w:sz w:val="16"/>
                <w:lang w:eastAsia="zh-CN"/>
              </w:rPr>
              <w:t>防疫</w:t>
            </w:r>
            <w:bookmarkEnd w:id="0"/>
            <w:r>
              <w:rPr>
                <w:rFonts w:ascii="宋体" w:hAnsi="宋体" w:eastAsia="宋体"/>
                <w:sz w:val="16"/>
              </w:rPr>
              <w:t>防控档案数字化项目</w:t>
            </w:r>
          </w:p>
        </w:tc>
      </w:tr>
      <w:tr w14:paraId="685370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85E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A3E807">
            <w:pPr>
              <w:jc w:val="center"/>
            </w:pPr>
            <w:r>
              <w:rPr>
                <w:rFonts w:ascii="宋体" w:hAnsi="宋体" w:eastAsia="宋体"/>
                <w:sz w:val="16"/>
              </w:rPr>
              <w:t>吉木萨尔县档案馆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841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904D44">
            <w:pPr>
              <w:jc w:val="center"/>
            </w:pPr>
            <w:r>
              <w:rPr>
                <w:rFonts w:ascii="宋体" w:hAnsi="宋体" w:eastAsia="宋体"/>
                <w:sz w:val="16"/>
              </w:rPr>
              <w:t>吉木萨尔县档案馆</w:t>
            </w:r>
          </w:p>
        </w:tc>
      </w:tr>
      <w:tr w14:paraId="47A192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DA1A2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205C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BD2E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9E43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4B1B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AF33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3C60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543DD">
            <w:pPr>
              <w:jc w:val="center"/>
            </w:pPr>
            <w:r>
              <w:rPr>
                <w:rFonts w:ascii="宋体" w:hAnsi="宋体" w:eastAsia="宋体"/>
                <w:sz w:val="16"/>
              </w:rPr>
              <w:t>得分</w:t>
            </w:r>
          </w:p>
        </w:tc>
      </w:tr>
      <w:tr w14:paraId="48A29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2892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91C5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C4C0C">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A7683">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0CB76">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A9D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A237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3010">
            <w:pPr>
              <w:jc w:val="center"/>
            </w:pPr>
            <w:r>
              <w:rPr>
                <w:rFonts w:ascii="宋体" w:hAnsi="宋体" w:eastAsia="宋体"/>
                <w:sz w:val="16"/>
              </w:rPr>
              <w:t>10.00</w:t>
            </w:r>
          </w:p>
        </w:tc>
      </w:tr>
      <w:tr w14:paraId="01D72D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1C5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7A7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4610F">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258E0">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A0345">
            <w:pPr>
              <w:jc w:val="center"/>
            </w:pPr>
            <w:r>
              <w:rPr>
                <w:rFonts w:ascii="宋体" w:hAnsi="宋体" w:eastAsia="宋体"/>
                <w:sz w:val="16"/>
              </w:rPr>
              <w:t>3.33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34C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131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D970B">
            <w:pPr>
              <w:jc w:val="center"/>
            </w:pPr>
            <w:r>
              <w:rPr>
                <w:rFonts w:ascii="宋体" w:hAnsi="宋体" w:eastAsia="宋体"/>
                <w:sz w:val="16"/>
              </w:rPr>
              <w:t>—</w:t>
            </w:r>
          </w:p>
        </w:tc>
      </w:tr>
      <w:tr w14:paraId="4715EA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E8E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D738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67A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B83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98E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EC8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5BB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07525">
            <w:pPr>
              <w:jc w:val="center"/>
            </w:pPr>
            <w:r>
              <w:rPr>
                <w:rFonts w:ascii="宋体" w:hAnsi="宋体" w:eastAsia="宋体"/>
                <w:sz w:val="16"/>
              </w:rPr>
              <w:t>—</w:t>
            </w:r>
          </w:p>
        </w:tc>
      </w:tr>
      <w:tr w14:paraId="435E5F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3341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15509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5D29B2">
            <w:pPr>
              <w:jc w:val="center"/>
            </w:pPr>
            <w:r>
              <w:rPr>
                <w:rFonts w:ascii="宋体" w:hAnsi="宋体" w:eastAsia="宋体"/>
                <w:sz w:val="16"/>
              </w:rPr>
              <w:t>实际完成情况</w:t>
            </w:r>
          </w:p>
        </w:tc>
      </w:tr>
      <w:tr w14:paraId="31E538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D1DB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D2B6E3">
            <w:pPr>
              <w:jc w:val="both"/>
            </w:pPr>
            <w:r>
              <w:rPr>
                <w:rFonts w:ascii="宋体" w:hAnsi="宋体" w:eastAsia="宋体"/>
                <w:sz w:val="16"/>
              </w:rPr>
              <w:t>2022年8月15日签订吉木萨尔县档案馆精准扶贫档案、新冠感染</w:t>
            </w:r>
            <w:r>
              <w:rPr>
                <w:rFonts w:hint="eastAsia" w:ascii="宋体" w:hAnsi="宋体"/>
                <w:sz w:val="16"/>
                <w:lang w:eastAsia="zh-CN"/>
              </w:rPr>
              <w:t>防疫</w:t>
            </w:r>
            <w:r>
              <w:rPr>
                <w:rFonts w:ascii="宋体" w:hAnsi="宋体" w:eastAsia="宋体"/>
                <w:sz w:val="16"/>
              </w:rPr>
              <w:t>防控档案数字化服务项目合同，项目主要实施内容为档案整理、档案数字化扫描加工服务和档案管理软件。2022年10月支付13万元，2024年支付剩余尾款3.33万元，数字化项目任务目标完成，扫描结果符合档案进馆标准，得到委托单位满意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6B3E41">
            <w:pPr>
              <w:jc w:val="both"/>
            </w:pPr>
            <w:r>
              <w:rPr>
                <w:rFonts w:ascii="宋体" w:hAnsi="宋体" w:eastAsia="宋体"/>
                <w:sz w:val="16"/>
              </w:rPr>
              <w:br w:type="textWrapping"/>
            </w:r>
            <w:r>
              <w:rPr>
                <w:rFonts w:ascii="宋体" w:hAnsi="宋体" w:eastAsia="宋体"/>
                <w:sz w:val="16"/>
              </w:rPr>
              <w:t>2022年8月15日签订吉木萨尔县档案馆精准扶贫档案、新冠感染</w:t>
            </w:r>
            <w:r>
              <w:rPr>
                <w:rFonts w:hint="eastAsia" w:ascii="宋体" w:hAnsi="宋体"/>
                <w:sz w:val="16"/>
                <w:lang w:eastAsia="zh-CN"/>
              </w:rPr>
              <w:t>防疫</w:t>
            </w:r>
            <w:r>
              <w:rPr>
                <w:rFonts w:ascii="宋体" w:hAnsi="宋体" w:eastAsia="宋体"/>
                <w:sz w:val="16"/>
              </w:rPr>
              <w:t>防控档案数字化服务项目合同，项目主要实施内容为档案整理、档案数字化扫描加工服务和档案管理软件。2022年10月支付13万元，2024年支付剩余尾款3.33万元，数字化项目任务目标完成，扫描结果符合档案进馆标准，达到预期目标。</w:t>
            </w:r>
          </w:p>
        </w:tc>
      </w:tr>
      <w:tr w14:paraId="610C69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0D51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78E7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7FF3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9A2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9F6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0CA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7224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A5F7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258F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1131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679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DCA1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A6EF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BFD93">
            <w:pPr>
              <w:jc w:val="center"/>
            </w:pPr>
            <w:r>
              <w:rPr>
                <w:rFonts w:ascii="宋体" w:hAnsi="宋体" w:eastAsia="宋体"/>
                <w:sz w:val="16"/>
              </w:rPr>
              <w:t>偏差原因分析及改进措施</w:t>
            </w:r>
          </w:p>
        </w:tc>
      </w:tr>
      <w:tr w14:paraId="4CF37B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349B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9177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7A06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A54C9">
            <w:pPr>
              <w:jc w:val="center"/>
            </w:pPr>
            <w:r>
              <w:rPr>
                <w:rFonts w:ascii="宋体" w:hAnsi="宋体" w:eastAsia="宋体"/>
                <w:sz w:val="16"/>
              </w:rPr>
              <w:t>聘请扫描公司数量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642A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D46E3">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4D88B">
            <w:pPr>
              <w:jc w:val="center"/>
            </w:pPr>
            <w:r>
              <w:rPr>
                <w:rFonts w:ascii="宋体" w:hAnsi="宋体" w:eastAsia="宋体"/>
                <w:sz w:val="16"/>
              </w:rPr>
              <w:t>=1家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4FA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78BC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107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F52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228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731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B848">
            <w:pPr>
              <w:jc w:val="center"/>
            </w:pPr>
          </w:p>
        </w:tc>
      </w:tr>
      <w:tr w14:paraId="064B5A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15A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B11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7026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0B400">
            <w:pPr>
              <w:jc w:val="center"/>
            </w:pPr>
            <w:r>
              <w:rPr>
                <w:rFonts w:ascii="宋体" w:hAnsi="宋体" w:eastAsia="宋体"/>
                <w:sz w:val="16"/>
              </w:rPr>
              <w:t>档案扫描图片质量完好率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F9C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3BEF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AC74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71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B88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35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EDE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63F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A6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B556A">
            <w:pPr>
              <w:jc w:val="center"/>
            </w:pPr>
          </w:p>
        </w:tc>
      </w:tr>
      <w:tr w14:paraId="00F291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E56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BA8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292C3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A3936">
            <w:pPr>
              <w:jc w:val="center"/>
            </w:pPr>
            <w:r>
              <w:rPr>
                <w:rFonts w:ascii="宋体" w:hAnsi="宋体" w:eastAsia="宋体"/>
                <w:sz w:val="16"/>
              </w:rPr>
              <w:t>合同签订日期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48E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ED4A">
            <w:pPr>
              <w:jc w:val="center"/>
            </w:pPr>
            <w:r>
              <w:rPr>
                <w:rFonts w:ascii="宋体" w:hAnsi="宋体" w:eastAsia="宋体"/>
                <w:sz w:val="16"/>
              </w:rPr>
              <w:t>=2022年8月15日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7C674">
            <w:pPr>
              <w:jc w:val="center"/>
            </w:pPr>
            <w:r>
              <w:rPr>
                <w:rFonts w:ascii="宋体" w:hAnsi="宋体" w:eastAsia="宋体"/>
                <w:sz w:val="16"/>
              </w:rPr>
              <w:t>=2022年8月15日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41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247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23C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CEA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F08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AD3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880D0">
            <w:pPr>
              <w:jc w:val="center"/>
            </w:pPr>
          </w:p>
        </w:tc>
      </w:tr>
      <w:tr w14:paraId="647D73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0B7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BC5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B8A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0A71F">
            <w:pPr>
              <w:jc w:val="center"/>
            </w:pPr>
            <w:r>
              <w:rPr>
                <w:rFonts w:ascii="宋体" w:hAnsi="宋体" w:eastAsia="宋体"/>
                <w:sz w:val="16"/>
              </w:rPr>
              <w:t>档案扫描工程完成率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7FD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8A9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1D6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095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000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9C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3FC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EC4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10D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5BEA1">
            <w:pPr>
              <w:jc w:val="center"/>
            </w:pPr>
          </w:p>
        </w:tc>
      </w:tr>
      <w:tr w14:paraId="546B4E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B31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815E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3C16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6D28">
            <w:pPr>
              <w:jc w:val="center"/>
            </w:pPr>
            <w:r>
              <w:rPr>
                <w:rFonts w:ascii="宋体" w:hAnsi="宋体" w:eastAsia="宋体"/>
                <w:sz w:val="16"/>
              </w:rPr>
              <w:t>档案扫描尾款支付费用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F68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F7F48">
            <w:pPr>
              <w:jc w:val="center"/>
            </w:pPr>
            <w:r>
              <w:rPr>
                <w:rFonts w:ascii="宋体" w:hAnsi="宋体" w:eastAsia="宋体"/>
                <w:sz w:val="16"/>
              </w:rPr>
              <w:t>=3.33万元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42BCB">
            <w:pPr>
              <w:jc w:val="center"/>
            </w:pPr>
            <w:r>
              <w:rPr>
                <w:rFonts w:ascii="宋体" w:hAnsi="宋体" w:eastAsia="宋体"/>
                <w:sz w:val="16"/>
              </w:rPr>
              <w:t>=3.33万元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648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381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F4E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8C3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1F7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18E6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14129">
            <w:pPr>
              <w:jc w:val="center"/>
            </w:pPr>
          </w:p>
        </w:tc>
      </w:tr>
      <w:tr w14:paraId="27CF51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E57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6D01A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A7C5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9FE8">
            <w:pPr>
              <w:jc w:val="center"/>
            </w:pPr>
            <w:r>
              <w:rPr>
                <w:rFonts w:ascii="宋体" w:hAnsi="宋体" w:eastAsia="宋体"/>
                <w:sz w:val="16"/>
              </w:rPr>
              <w:t>有效节约财政资金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35B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2291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D4DD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A7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6C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C09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89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3311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4C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E1AA">
            <w:pPr>
              <w:jc w:val="center"/>
            </w:pPr>
          </w:p>
        </w:tc>
      </w:tr>
      <w:tr w14:paraId="4D6CA7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E53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715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9197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9F1B4">
            <w:pPr>
              <w:jc w:val="center"/>
            </w:pPr>
            <w:r>
              <w:rPr>
                <w:rFonts w:ascii="宋体" w:hAnsi="宋体" w:eastAsia="宋体"/>
                <w:sz w:val="16"/>
              </w:rPr>
              <w:t>提高公共服务供给水平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EA3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827C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2854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B81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B2B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081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9F4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28F2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13B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E7A69">
            <w:pPr>
              <w:jc w:val="center"/>
            </w:pPr>
          </w:p>
        </w:tc>
      </w:tr>
      <w:tr w14:paraId="3C5B44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488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5ED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637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B84A7">
            <w:pPr>
              <w:jc w:val="center"/>
            </w:pPr>
            <w:r>
              <w:rPr>
                <w:rFonts w:ascii="宋体" w:hAnsi="宋体" w:eastAsia="宋体"/>
                <w:sz w:val="16"/>
              </w:rPr>
              <w:t>委托单位满意度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6D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0EA4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A82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F7821">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4A7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ED8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BB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A238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9B3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51BC">
            <w:pPr>
              <w:jc w:val="center"/>
            </w:pPr>
            <w:r>
              <w:rPr>
                <w:rFonts w:ascii="宋体" w:hAnsi="宋体" w:eastAsia="宋体"/>
                <w:sz w:val="16"/>
              </w:rPr>
              <w:t>已按要求全部完成服务内容，委托单位非常满意。</w:t>
            </w:r>
          </w:p>
        </w:tc>
      </w:tr>
      <w:tr w14:paraId="7403924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36D3C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24D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EA61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C2FC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F99C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B0FB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F062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2DE6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DD04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9669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175DB1"/>
        </w:tc>
      </w:tr>
    </w:tbl>
    <w:p w14:paraId="0B44A80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96"/>
      </w:tblGrid>
      <w:tr w14:paraId="3A44D582">
        <w:tblPrEx>
          <w:tblCellMar>
            <w:top w:w="0" w:type="dxa"/>
            <w:left w:w="108" w:type="dxa"/>
            <w:bottom w:w="0" w:type="dxa"/>
            <w:right w:w="108" w:type="dxa"/>
          </w:tblCellMar>
        </w:tblPrEx>
        <w:tc>
          <w:tcPr>
            <w:tcW w:w="8848" w:type="dxa"/>
            <w:gridSpan w:val="14"/>
            <w:vAlign w:val="center"/>
          </w:tcPr>
          <w:p w14:paraId="228D40D4">
            <w:pPr>
              <w:jc w:val="center"/>
            </w:pPr>
            <w:r>
              <w:rPr>
                <w:rFonts w:ascii="宋体" w:hAnsi="宋体" w:eastAsia="宋体"/>
                <w:sz w:val="24"/>
              </w:rPr>
              <w:t>项目支出绩效自评表</w:t>
            </w:r>
          </w:p>
        </w:tc>
      </w:tr>
      <w:tr w14:paraId="30C50FB2">
        <w:tblPrEx>
          <w:tblCellMar>
            <w:top w:w="0" w:type="dxa"/>
            <w:left w:w="108" w:type="dxa"/>
            <w:bottom w:w="0" w:type="dxa"/>
            <w:right w:w="108" w:type="dxa"/>
          </w:tblCellMar>
        </w:tblPrEx>
        <w:tc>
          <w:tcPr>
            <w:tcW w:w="8848" w:type="dxa"/>
            <w:gridSpan w:val="14"/>
            <w:vAlign w:val="center"/>
          </w:tcPr>
          <w:p w14:paraId="7553C507">
            <w:pPr>
              <w:jc w:val="center"/>
            </w:pPr>
            <w:r>
              <w:rPr>
                <w:rFonts w:ascii="宋体" w:hAnsi="宋体" w:eastAsia="宋体"/>
                <w:sz w:val="24"/>
              </w:rPr>
              <w:t>(2024年度)</w:t>
            </w:r>
          </w:p>
        </w:tc>
      </w:tr>
      <w:tr w14:paraId="7A0F10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CE00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1AC12A">
            <w:pPr>
              <w:jc w:val="center"/>
            </w:pPr>
            <w:r>
              <w:rPr>
                <w:rFonts w:ascii="宋体" w:hAnsi="宋体" w:eastAsia="宋体"/>
                <w:sz w:val="16"/>
              </w:rPr>
              <w:t>吉木萨尔县综合档案馆建设项目</w:t>
            </w:r>
          </w:p>
        </w:tc>
      </w:tr>
      <w:tr w14:paraId="2FB754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7D7C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850CA7">
            <w:pPr>
              <w:jc w:val="center"/>
            </w:pPr>
            <w:r>
              <w:rPr>
                <w:rFonts w:ascii="宋体" w:hAnsi="宋体" w:eastAsia="宋体"/>
                <w:sz w:val="16"/>
              </w:rPr>
              <w:t>吉木萨尔县档案馆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0777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03A65E">
            <w:pPr>
              <w:jc w:val="center"/>
            </w:pPr>
            <w:r>
              <w:rPr>
                <w:rFonts w:ascii="宋体" w:hAnsi="宋体" w:eastAsia="宋体"/>
                <w:sz w:val="16"/>
              </w:rPr>
              <w:t>吉木萨尔县档案馆</w:t>
            </w:r>
          </w:p>
        </w:tc>
      </w:tr>
      <w:tr w14:paraId="3D4D8A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885F3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632B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B7AC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DE33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5994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34A9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C6D3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77F1B">
            <w:pPr>
              <w:jc w:val="center"/>
            </w:pPr>
            <w:r>
              <w:rPr>
                <w:rFonts w:ascii="宋体" w:hAnsi="宋体" w:eastAsia="宋体"/>
                <w:sz w:val="16"/>
              </w:rPr>
              <w:t>得分</w:t>
            </w:r>
          </w:p>
        </w:tc>
      </w:tr>
      <w:tr w14:paraId="5B8C5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A25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E9AF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05C59">
            <w:pPr>
              <w:jc w:val="center"/>
            </w:pPr>
            <w:r>
              <w:rPr>
                <w:rFonts w:ascii="宋体" w:hAnsi="宋体" w:eastAsia="宋体"/>
                <w:sz w:val="16"/>
              </w:rPr>
              <w:t>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DF383">
            <w:pPr>
              <w:jc w:val="center"/>
            </w:pPr>
            <w:r>
              <w:rPr>
                <w:rFonts w:ascii="宋体" w:hAnsi="宋体" w:eastAsia="宋体"/>
                <w:sz w:val="16"/>
              </w:rPr>
              <w:t>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49C97">
            <w:pPr>
              <w:jc w:val="center"/>
            </w:pPr>
            <w:r>
              <w:rPr>
                <w:rFonts w:ascii="宋体" w:hAnsi="宋体" w:eastAsia="宋体"/>
                <w:sz w:val="16"/>
              </w:rPr>
              <w:t>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1F3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B1BA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08851">
            <w:pPr>
              <w:jc w:val="center"/>
            </w:pPr>
            <w:r>
              <w:rPr>
                <w:rFonts w:ascii="宋体" w:hAnsi="宋体" w:eastAsia="宋体"/>
                <w:sz w:val="16"/>
              </w:rPr>
              <w:t>10.00</w:t>
            </w:r>
          </w:p>
        </w:tc>
      </w:tr>
      <w:tr w14:paraId="47228B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9A1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2C8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685F4">
            <w:pPr>
              <w:jc w:val="center"/>
            </w:pPr>
            <w:r>
              <w:rPr>
                <w:rFonts w:ascii="宋体" w:hAnsi="宋体" w:eastAsia="宋体"/>
                <w:sz w:val="16"/>
              </w:rPr>
              <w:t>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32AB3">
            <w:pPr>
              <w:jc w:val="center"/>
            </w:pPr>
            <w:r>
              <w:rPr>
                <w:rFonts w:ascii="宋体" w:hAnsi="宋体" w:eastAsia="宋体"/>
                <w:sz w:val="16"/>
              </w:rPr>
              <w:t>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0F533">
            <w:pPr>
              <w:jc w:val="center"/>
            </w:pPr>
            <w:r>
              <w:rPr>
                <w:rFonts w:ascii="宋体" w:hAnsi="宋体" w:eastAsia="宋体"/>
                <w:sz w:val="16"/>
              </w:rPr>
              <w:t>5.64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C0D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272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35D6E">
            <w:pPr>
              <w:jc w:val="center"/>
            </w:pPr>
            <w:r>
              <w:rPr>
                <w:rFonts w:ascii="宋体" w:hAnsi="宋体" w:eastAsia="宋体"/>
                <w:sz w:val="16"/>
              </w:rPr>
              <w:t>—</w:t>
            </w:r>
          </w:p>
        </w:tc>
      </w:tr>
      <w:tr w14:paraId="152ABC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7D4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3A03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813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104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09C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C7D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86D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FD7BE">
            <w:pPr>
              <w:jc w:val="center"/>
            </w:pPr>
            <w:r>
              <w:rPr>
                <w:rFonts w:ascii="宋体" w:hAnsi="宋体" w:eastAsia="宋体"/>
                <w:sz w:val="16"/>
              </w:rPr>
              <w:t>—</w:t>
            </w:r>
          </w:p>
        </w:tc>
      </w:tr>
      <w:tr w14:paraId="1676AF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6F61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27376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99D905">
            <w:pPr>
              <w:jc w:val="center"/>
            </w:pPr>
            <w:r>
              <w:rPr>
                <w:rFonts w:ascii="宋体" w:hAnsi="宋体" w:eastAsia="宋体"/>
                <w:sz w:val="16"/>
              </w:rPr>
              <w:t>实际完成情况</w:t>
            </w:r>
          </w:p>
        </w:tc>
      </w:tr>
      <w:tr w14:paraId="12D3F1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6F1A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23A86A">
            <w:pPr>
              <w:jc w:val="both"/>
            </w:pPr>
            <w:r>
              <w:rPr>
                <w:rFonts w:ascii="宋体" w:hAnsi="宋体" w:eastAsia="宋体"/>
                <w:sz w:val="16"/>
              </w:rPr>
              <w:t>2022年3月18日签订建设工程造价咨询合同，对吉木萨尔县综合档案馆建设项目工程进行结算审核。合同总价为5.64万元，有效节约财政资金。使得服务单位满意度。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743C8A">
            <w:pPr>
              <w:jc w:val="both"/>
            </w:pPr>
            <w:r>
              <w:rPr>
                <w:rFonts w:hint="eastAsia" w:ascii="宋体" w:hAnsi="宋体"/>
                <w:sz w:val="16"/>
                <w:lang w:eastAsia="zh-CN"/>
              </w:rPr>
              <w:t>截至</w:t>
            </w:r>
            <w:r>
              <w:rPr>
                <w:rFonts w:ascii="宋体" w:hAnsi="宋体" w:eastAsia="宋体"/>
                <w:sz w:val="16"/>
              </w:rPr>
              <w:t>2024年12月31日，项目支出5.64万元，本项目预算执行率为100%，签订建设工程造价咨询合同，对吉木萨尔县综合档案馆建设项目工程进行结算审核。有效节约财政资金，达到预期目标。</w:t>
            </w:r>
          </w:p>
        </w:tc>
      </w:tr>
      <w:tr w14:paraId="55E9D1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980B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B5F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AB2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6E8C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0D2C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0B36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B218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2D8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7D93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E43D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11D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7F3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84AB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55AE7">
            <w:pPr>
              <w:jc w:val="center"/>
            </w:pPr>
            <w:r>
              <w:rPr>
                <w:rFonts w:ascii="宋体" w:hAnsi="宋体" w:eastAsia="宋体"/>
                <w:sz w:val="16"/>
              </w:rPr>
              <w:t>偏差原因分析及改进措施</w:t>
            </w:r>
          </w:p>
        </w:tc>
      </w:tr>
      <w:tr w14:paraId="120C8E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979E7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F50A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06B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ED2D6">
            <w:pPr>
              <w:jc w:val="center"/>
            </w:pPr>
            <w:r>
              <w:rPr>
                <w:rFonts w:ascii="宋体" w:hAnsi="宋体" w:eastAsia="宋体"/>
                <w:sz w:val="16"/>
              </w:rPr>
              <w:t>聘请咨询服务公司数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3D6E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2DBDE">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054A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E4C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212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F7D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A3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EA1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7C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9C2DC">
            <w:pPr>
              <w:jc w:val="center"/>
            </w:pPr>
          </w:p>
        </w:tc>
      </w:tr>
      <w:tr w14:paraId="4AC0B4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9D2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255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F5F7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8C6F0">
            <w:pPr>
              <w:jc w:val="center"/>
            </w:pPr>
            <w:r>
              <w:rPr>
                <w:rFonts w:ascii="宋体" w:hAnsi="宋体" w:eastAsia="宋体"/>
                <w:sz w:val="16"/>
              </w:rPr>
              <w:t>工程造价结算审核报告通过率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AB0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FAF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E81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6D4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F5E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6ED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B04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77D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CF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6BEAE">
            <w:pPr>
              <w:jc w:val="center"/>
            </w:pPr>
          </w:p>
        </w:tc>
      </w:tr>
      <w:tr w14:paraId="450813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BC8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C880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ACD43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AA638">
            <w:pPr>
              <w:jc w:val="center"/>
            </w:pPr>
            <w:r>
              <w:rPr>
                <w:rFonts w:ascii="宋体" w:hAnsi="宋体" w:eastAsia="宋体"/>
                <w:sz w:val="16"/>
              </w:rPr>
              <w:t>合同签订日期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2900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4812">
            <w:pPr>
              <w:jc w:val="center"/>
            </w:pPr>
            <w:r>
              <w:rPr>
                <w:rFonts w:ascii="宋体" w:hAnsi="宋体" w:eastAsia="宋体"/>
                <w:sz w:val="16"/>
              </w:rPr>
              <w:t>=2022年3月18日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C25A7">
            <w:pPr>
              <w:jc w:val="center"/>
            </w:pPr>
            <w:r>
              <w:rPr>
                <w:rFonts w:ascii="宋体" w:hAnsi="宋体" w:eastAsia="宋体"/>
                <w:sz w:val="16"/>
              </w:rPr>
              <w:t>=2022年3月18日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700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BF4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B44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85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2FB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F3D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F175">
            <w:pPr>
              <w:jc w:val="center"/>
            </w:pPr>
          </w:p>
        </w:tc>
      </w:tr>
      <w:tr w14:paraId="262B6D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8FF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13F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5181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58628">
            <w:pPr>
              <w:jc w:val="center"/>
            </w:pPr>
            <w:r>
              <w:rPr>
                <w:rFonts w:ascii="宋体" w:hAnsi="宋体" w:eastAsia="宋体"/>
                <w:sz w:val="16"/>
              </w:rPr>
              <w:t>造价咨询完成率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F4C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A23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EA2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6B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1ED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9F0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ABB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79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D76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06110">
            <w:pPr>
              <w:jc w:val="center"/>
            </w:pPr>
          </w:p>
        </w:tc>
      </w:tr>
      <w:tr w14:paraId="14844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8AF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5EE3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4A84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FC5D0">
            <w:pPr>
              <w:jc w:val="center"/>
            </w:pPr>
            <w:r>
              <w:rPr>
                <w:rFonts w:ascii="宋体" w:hAnsi="宋体" w:eastAsia="宋体"/>
                <w:sz w:val="16"/>
              </w:rPr>
              <w:t>工程造价咨询服务费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CEC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524AB">
            <w:pPr>
              <w:jc w:val="center"/>
            </w:pPr>
            <w:r>
              <w:rPr>
                <w:rFonts w:ascii="宋体" w:hAnsi="宋体" w:eastAsia="宋体"/>
                <w:sz w:val="16"/>
              </w:rPr>
              <w:t>&lt;=5.64万元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0842">
            <w:pPr>
              <w:jc w:val="center"/>
            </w:pPr>
            <w:r>
              <w:rPr>
                <w:rFonts w:ascii="宋体" w:hAnsi="宋体" w:eastAsia="宋体"/>
                <w:sz w:val="16"/>
              </w:rPr>
              <w:t>=5.64万元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CDF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377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D2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1D5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CF3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FE13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2C39">
            <w:pPr>
              <w:jc w:val="center"/>
            </w:pPr>
          </w:p>
        </w:tc>
      </w:tr>
      <w:tr w14:paraId="2EC726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F38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601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4CF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5C73B">
            <w:pPr>
              <w:jc w:val="center"/>
            </w:pPr>
            <w:r>
              <w:rPr>
                <w:rFonts w:ascii="宋体" w:hAnsi="宋体" w:eastAsia="宋体"/>
                <w:sz w:val="16"/>
              </w:rPr>
              <w:t>有效节约财政资金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764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5089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4FB2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7A0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32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D9C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28A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D13F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654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8EAA8">
            <w:pPr>
              <w:jc w:val="center"/>
            </w:pPr>
          </w:p>
        </w:tc>
      </w:tr>
      <w:tr w14:paraId="271312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2D9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40FC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8A6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BC913">
            <w:pPr>
              <w:jc w:val="center"/>
            </w:pPr>
            <w:r>
              <w:rPr>
                <w:rFonts w:ascii="宋体" w:hAnsi="宋体" w:eastAsia="宋体"/>
                <w:sz w:val="16"/>
              </w:rPr>
              <w:t>服务单位满意度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16C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B590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EB1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8DF4A">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77F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9F2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595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E95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904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7D234">
            <w:pPr>
              <w:jc w:val="center"/>
            </w:pPr>
            <w:r>
              <w:rPr>
                <w:rFonts w:ascii="宋体" w:hAnsi="宋体" w:eastAsia="宋体"/>
                <w:sz w:val="16"/>
              </w:rPr>
              <w:t>通过调研问卷，服务单位</w:t>
            </w:r>
            <w:r>
              <w:rPr>
                <w:rFonts w:hint="eastAsia" w:ascii="宋体" w:hAnsi="宋体"/>
                <w:sz w:val="16"/>
                <w:lang w:eastAsia="zh-CN"/>
              </w:rPr>
              <w:t>对</w:t>
            </w:r>
            <w:r>
              <w:rPr>
                <w:rFonts w:ascii="宋体" w:hAnsi="宋体" w:eastAsia="宋体"/>
                <w:sz w:val="16"/>
              </w:rPr>
              <w:t>吉木萨尔县综合档案馆建设项目工程进行结算审核工作满意度达到100%。</w:t>
            </w:r>
          </w:p>
        </w:tc>
      </w:tr>
      <w:tr w14:paraId="5393B10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37DBB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3B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E635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A3C9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BC4B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ECA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6442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442E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9054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A479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D7E458"/>
        </w:tc>
      </w:tr>
    </w:tbl>
    <w:p w14:paraId="61D4FF9C">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538"/>
        <w:gridCol w:w="89"/>
        <w:gridCol w:w="632"/>
      </w:tblGrid>
      <w:tr w14:paraId="5B60C471">
        <w:tblPrEx>
          <w:tblCellMar>
            <w:top w:w="0" w:type="dxa"/>
            <w:left w:w="108" w:type="dxa"/>
            <w:bottom w:w="0" w:type="dxa"/>
            <w:right w:w="108" w:type="dxa"/>
          </w:tblCellMar>
        </w:tblPrEx>
        <w:tc>
          <w:tcPr>
            <w:tcW w:w="9060" w:type="dxa"/>
            <w:gridSpan w:val="15"/>
            <w:vAlign w:val="center"/>
          </w:tcPr>
          <w:p w14:paraId="4F4A32B8">
            <w:pPr>
              <w:jc w:val="center"/>
            </w:pPr>
            <w:r>
              <w:rPr>
                <w:rFonts w:ascii="宋体" w:hAnsi="宋体" w:eastAsia="宋体"/>
                <w:sz w:val="24"/>
              </w:rPr>
              <w:t>项目支出绩效自评表</w:t>
            </w:r>
          </w:p>
        </w:tc>
      </w:tr>
      <w:tr w14:paraId="574D6CED">
        <w:tblPrEx>
          <w:tblCellMar>
            <w:top w:w="0" w:type="dxa"/>
            <w:left w:w="108" w:type="dxa"/>
            <w:bottom w:w="0" w:type="dxa"/>
            <w:right w:w="108" w:type="dxa"/>
          </w:tblCellMar>
        </w:tblPrEx>
        <w:tc>
          <w:tcPr>
            <w:tcW w:w="9060" w:type="dxa"/>
            <w:gridSpan w:val="15"/>
            <w:vAlign w:val="center"/>
          </w:tcPr>
          <w:p w14:paraId="7294C921">
            <w:pPr>
              <w:jc w:val="center"/>
            </w:pPr>
            <w:r>
              <w:rPr>
                <w:rFonts w:ascii="宋体" w:hAnsi="宋体" w:eastAsia="宋体"/>
                <w:sz w:val="24"/>
              </w:rPr>
              <w:t>(2024年度)</w:t>
            </w:r>
          </w:p>
        </w:tc>
      </w:tr>
      <w:tr w14:paraId="65CD09DE">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0E6C587B">
            <w:pPr>
              <w:jc w:val="center"/>
            </w:pPr>
            <w:r>
              <w:rPr>
                <w:rFonts w:ascii="宋体" w:hAnsi="宋体" w:eastAsia="宋体"/>
                <w:sz w:val="16"/>
              </w:rPr>
              <w:t>项目名称</w:t>
            </w:r>
          </w:p>
        </w:tc>
        <w:tc>
          <w:tcPr>
            <w:tcW w:w="8432"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7B34B80E">
            <w:pPr>
              <w:jc w:val="center"/>
            </w:pPr>
            <w:r>
              <w:rPr>
                <w:rFonts w:ascii="宋体" w:hAnsi="宋体" w:eastAsia="宋体"/>
                <w:sz w:val="16"/>
              </w:rPr>
              <w:t>吉木萨尔县综合档案馆消防配套设施及附属工程</w:t>
            </w:r>
          </w:p>
        </w:tc>
      </w:tr>
      <w:tr w14:paraId="1D941DC3">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238421CB">
            <w:pPr>
              <w:jc w:val="center"/>
            </w:pPr>
            <w:r>
              <w:rPr>
                <w:rFonts w:ascii="宋体" w:hAnsi="宋体" w:eastAsia="宋体"/>
                <w:sz w:val="16"/>
              </w:rPr>
              <w:t>主管部门</w:t>
            </w:r>
          </w:p>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17C829">
            <w:pPr>
              <w:jc w:val="center"/>
            </w:pPr>
            <w:r>
              <w:rPr>
                <w:rFonts w:ascii="宋体" w:hAnsi="宋体" w:eastAsia="宋体"/>
                <w:sz w:val="16"/>
              </w:rPr>
              <w:t>吉木萨尔县档案馆</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1CFB82">
            <w:pPr>
              <w:jc w:val="center"/>
            </w:pPr>
            <w:r>
              <w:rPr>
                <w:rFonts w:ascii="宋体" w:hAnsi="宋体" w:eastAsia="宋体"/>
                <w:sz w:val="16"/>
              </w:rPr>
              <w:t>实施单位</w:t>
            </w:r>
          </w:p>
        </w:tc>
        <w:tc>
          <w:tcPr>
            <w:tcW w:w="3134"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FCA5B7">
            <w:pPr>
              <w:jc w:val="center"/>
            </w:pPr>
            <w:r>
              <w:rPr>
                <w:rFonts w:ascii="宋体" w:hAnsi="宋体" w:eastAsia="宋体"/>
                <w:sz w:val="16"/>
              </w:rPr>
              <w:t>吉木萨尔县档案馆</w:t>
            </w:r>
          </w:p>
        </w:tc>
      </w:tr>
      <w:tr w14:paraId="7D24F72C">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CBFC7D">
            <w:pPr>
              <w:jc w:val="center"/>
            </w:pPr>
            <w:r>
              <w:rPr>
                <w:rFonts w:ascii="宋体" w:hAnsi="宋体" w:eastAsia="宋体"/>
                <w:sz w:val="16"/>
              </w:rPr>
              <w:t>项目资金（万元）</w:t>
            </w:r>
          </w:p>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53391">
            <w:pPr>
              <w:jc w:val="center"/>
            </w:pP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B515E">
            <w:pPr>
              <w:jc w:val="center"/>
            </w:pPr>
            <w:r>
              <w:rPr>
                <w:rFonts w:ascii="宋体" w:hAnsi="宋体" w:eastAsia="宋体"/>
                <w:sz w:val="16"/>
              </w:rPr>
              <w:t>年初预算数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8A2D1">
            <w:pPr>
              <w:jc w:val="center"/>
            </w:pPr>
            <w:r>
              <w:rPr>
                <w:rFonts w:ascii="宋体" w:hAnsi="宋体" w:eastAsia="宋体"/>
                <w:sz w:val="16"/>
              </w:rPr>
              <w:t>全年预算数</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0340A">
            <w:pPr>
              <w:jc w:val="center"/>
            </w:pPr>
            <w:r>
              <w:rPr>
                <w:rFonts w:ascii="宋体" w:hAnsi="宋体" w:eastAsia="宋体"/>
                <w:sz w:val="16"/>
              </w:rPr>
              <w:t>全年执行数</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071B4">
            <w:pPr>
              <w:jc w:val="center"/>
            </w:pPr>
            <w:r>
              <w:rPr>
                <w:rFonts w:ascii="宋体" w:hAnsi="宋体" w:eastAsia="宋体"/>
                <w:sz w:val="16"/>
              </w:rPr>
              <w:t>分值</w:t>
            </w:r>
          </w:p>
        </w:tc>
        <w:tc>
          <w:tcPr>
            <w:tcW w:w="125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2A426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BB0E">
            <w:pPr>
              <w:jc w:val="center"/>
            </w:pPr>
            <w:r>
              <w:rPr>
                <w:rFonts w:ascii="宋体" w:hAnsi="宋体" w:eastAsia="宋体"/>
                <w:sz w:val="16"/>
              </w:rPr>
              <w:t>得分</w:t>
            </w:r>
          </w:p>
        </w:tc>
      </w:tr>
      <w:tr w14:paraId="67C84958">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0D961E2D"/>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0A074">
            <w:pPr>
              <w:jc w:val="center"/>
            </w:pPr>
            <w:r>
              <w:rPr>
                <w:rFonts w:ascii="宋体" w:hAnsi="宋体" w:eastAsia="宋体"/>
                <w:sz w:val="16"/>
              </w:rPr>
              <w:t>年度资金总额</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92070">
            <w:pPr>
              <w:jc w:val="center"/>
            </w:pPr>
            <w:r>
              <w:rPr>
                <w:rFonts w:ascii="宋体" w:hAnsi="宋体" w:eastAsia="宋体"/>
                <w:sz w:val="16"/>
              </w:rPr>
              <w:t>47.74</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1574E">
            <w:pPr>
              <w:jc w:val="center"/>
            </w:pPr>
            <w:r>
              <w:rPr>
                <w:rFonts w:ascii="宋体" w:hAnsi="宋体" w:eastAsia="宋体"/>
                <w:sz w:val="16"/>
              </w:rPr>
              <w:t>47.74</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D9B1B">
            <w:pPr>
              <w:jc w:val="center"/>
            </w:pPr>
            <w:r>
              <w:rPr>
                <w:rFonts w:ascii="宋体" w:hAnsi="宋体" w:eastAsia="宋体"/>
                <w:sz w:val="16"/>
              </w:rPr>
              <w:t>47.74</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D7235">
            <w:pPr>
              <w:jc w:val="center"/>
            </w:pPr>
            <w:r>
              <w:rPr>
                <w:rFonts w:ascii="宋体" w:hAnsi="宋体" w:eastAsia="宋体"/>
                <w:sz w:val="16"/>
              </w:rPr>
              <w:t>10</w:t>
            </w:r>
          </w:p>
        </w:tc>
        <w:tc>
          <w:tcPr>
            <w:tcW w:w="125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1DB92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4148C">
            <w:pPr>
              <w:jc w:val="center"/>
            </w:pPr>
            <w:r>
              <w:rPr>
                <w:rFonts w:ascii="宋体" w:hAnsi="宋体" w:eastAsia="宋体"/>
                <w:sz w:val="16"/>
              </w:rPr>
              <w:t>10.00</w:t>
            </w:r>
          </w:p>
        </w:tc>
      </w:tr>
      <w:tr w14:paraId="2F484CF4">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295CE26"/>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51325">
            <w:pPr>
              <w:jc w:val="center"/>
            </w:pPr>
            <w:r>
              <w:rPr>
                <w:rFonts w:ascii="宋体" w:hAnsi="宋体" w:eastAsia="宋体"/>
                <w:sz w:val="16"/>
              </w:rPr>
              <w:t>其中：当年财政拨款</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D145D">
            <w:pPr>
              <w:jc w:val="center"/>
            </w:pPr>
            <w:r>
              <w:rPr>
                <w:rFonts w:ascii="宋体" w:hAnsi="宋体" w:eastAsia="宋体"/>
                <w:sz w:val="16"/>
              </w:rPr>
              <w:t>47.74</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52E22">
            <w:pPr>
              <w:jc w:val="center"/>
            </w:pPr>
            <w:r>
              <w:rPr>
                <w:rFonts w:ascii="宋体" w:hAnsi="宋体" w:eastAsia="宋体"/>
                <w:sz w:val="16"/>
              </w:rPr>
              <w:t>47.74</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26E55">
            <w:pPr>
              <w:jc w:val="center"/>
            </w:pPr>
            <w:r>
              <w:rPr>
                <w:rFonts w:ascii="宋体" w:hAnsi="宋体" w:eastAsia="宋体"/>
                <w:sz w:val="16"/>
              </w:rPr>
              <w:t>47.74</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33374">
            <w:pPr>
              <w:jc w:val="center"/>
            </w:pPr>
            <w:r>
              <w:rPr>
                <w:rFonts w:ascii="宋体" w:hAnsi="宋体" w:eastAsia="宋体"/>
                <w:sz w:val="16"/>
              </w:rPr>
              <w:t>—</w:t>
            </w:r>
          </w:p>
        </w:tc>
        <w:tc>
          <w:tcPr>
            <w:tcW w:w="125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0695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50F1">
            <w:pPr>
              <w:jc w:val="center"/>
            </w:pPr>
            <w:r>
              <w:rPr>
                <w:rFonts w:ascii="宋体" w:hAnsi="宋体" w:eastAsia="宋体"/>
                <w:sz w:val="16"/>
              </w:rPr>
              <w:t>—</w:t>
            </w:r>
          </w:p>
        </w:tc>
      </w:tr>
      <w:tr w14:paraId="10E1BD1F">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1DB2D73"/>
        </w:tc>
        <w:tc>
          <w:tcPr>
            <w:tcW w:w="124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BB7BA">
            <w:pPr>
              <w:jc w:val="center"/>
            </w:pPr>
            <w:r>
              <w:rPr>
                <w:rFonts w:ascii="宋体" w:hAnsi="宋体" w:eastAsia="宋体"/>
                <w:sz w:val="16"/>
              </w:rPr>
              <w:t xml:space="preserve">  其他资金</w:t>
            </w:r>
          </w:p>
        </w:tc>
        <w:tc>
          <w:tcPr>
            <w:tcW w:w="12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DE7C2">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4E22A">
            <w:pPr>
              <w:jc w:val="center"/>
            </w:pPr>
            <w:r>
              <w:rPr>
                <w:rFonts w:ascii="宋体" w:hAnsi="宋体" w:eastAsia="宋体"/>
                <w:sz w:val="16"/>
              </w:rPr>
              <w:t>0.00</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FA4D8">
            <w:pPr>
              <w:jc w:val="center"/>
            </w:pPr>
            <w:r>
              <w:rPr>
                <w:rFonts w:ascii="宋体" w:hAnsi="宋体" w:eastAsia="宋体"/>
                <w:sz w:val="16"/>
              </w:rPr>
              <w:t>0.00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CFE2A">
            <w:pPr>
              <w:jc w:val="center"/>
            </w:pPr>
            <w:r>
              <w:rPr>
                <w:rFonts w:ascii="宋体" w:hAnsi="宋体" w:eastAsia="宋体"/>
                <w:sz w:val="16"/>
              </w:rPr>
              <w:t>—</w:t>
            </w:r>
          </w:p>
        </w:tc>
        <w:tc>
          <w:tcPr>
            <w:tcW w:w="125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0452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585DC">
            <w:pPr>
              <w:jc w:val="center"/>
            </w:pPr>
            <w:r>
              <w:rPr>
                <w:rFonts w:ascii="宋体" w:hAnsi="宋体" w:eastAsia="宋体"/>
                <w:sz w:val="16"/>
              </w:rPr>
              <w:t>—</w:t>
            </w:r>
          </w:p>
        </w:tc>
      </w:tr>
      <w:tr w14:paraId="0B930AC4">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5E1A1">
            <w:pPr>
              <w:jc w:val="center"/>
            </w:pPr>
            <w:r>
              <w:rPr>
                <w:rFonts w:ascii="宋体" w:hAnsi="宋体" w:eastAsia="宋体"/>
                <w:sz w:val="16"/>
              </w:rPr>
              <w:t>年度总体目标</w:t>
            </w:r>
          </w:p>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DE9C45">
            <w:pPr>
              <w:jc w:val="center"/>
            </w:pPr>
            <w:r>
              <w:rPr>
                <w:rFonts w:ascii="宋体" w:hAnsi="宋体" w:eastAsia="宋体"/>
                <w:sz w:val="16"/>
              </w:rPr>
              <w:t>预期目标</w:t>
            </w:r>
          </w:p>
        </w:tc>
        <w:tc>
          <w:tcPr>
            <w:tcW w:w="383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19CA5C">
            <w:pPr>
              <w:jc w:val="center"/>
            </w:pPr>
            <w:r>
              <w:rPr>
                <w:rFonts w:ascii="宋体" w:hAnsi="宋体" w:eastAsia="宋体"/>
                <w:sz w:val="16"/>
              </w:rPr>
              <w:t>实际完成情况</w:t>
            </w:r>
          </w:p>
        </w:tc>
      </w:tr>
      <w:tr w14:paraId="0AA9BD8E">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3EE8E41"/>
        </w:tc>
        <w:tc>
          <w:tcPr>
            <w:tcW w:w="460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E674BD">
            <w:pPr>
              <w:jc w:val="both"/>
            </w:pPr>
            <w:r>
              <w:rPr>
                <w:rFonts w:ascii="宋体" w:hAnsi="宋体" w:eastAsia="宋体"/>
                <w:sz w:val="16"/>
              </w:rPr>
              <w:t>实施吉木萨尔县综合档案馆消防配套设施及附属工程项目，通过此项目的实施，可以满足群众日常资料查询及档案馆正常投入使用。按照施工合同工程量完成，并且竣工验收合格。合同价为47.796886万元，结算审定价为47.744614万元，有效节约了财政资金，取得服务单位的满意。</w:t>
            </w:r>
          </w:p>
        </w:tc>
        <w:tc>
          <w:tcPr>
            <w:tcW w:w="3830"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3580EF">
            <w:pPr>
              <w:jc w:val="both"/>
            </w:pPr>
            <w:r>
              <w:rPr>
                <w:rFonts w:hint="eastAsia" w:ascii="宋体" w:hAnsi="宋体"/>
                <w:sz w:val="16"/>
                <w:lang w:eastAsia="zh-CN"/>
              </w:rPr>
              <w:t>截至</w:t>
            </w:r>
            <w:r>
              <w:rPr>
                <w:rFonts w:ascii="宋体" w:hAnsi="宋体" w:eastAsia="宋体"/>
                <w:sz w:val="16"/>
              </w:rPr>
              <w:t>2024年12月31日，项目实际支付47.744614万元，预算执行率100%。实施吉木萨尔县综合档案馆消防配套设施及附属工程项目，通过此项目的实施，可以满足群众日常资料查询及档案馆正常投入使用。按照施工合同工程量完成，并且竣工验收合格。有效节约了财政资金，取得服务单位的满意，达到了预期目标。</w:t>
            </w:r>
          </w:p>
        </w:tc>
      </w:tr>
      <w:tr w14:paraId="41F0766F">
        <w:tblPrEx>
          <w:tblCellMar>
            <w:top w:w="0" w:type="dxa"/>
            <w:left w:w="108" w:type="dxa"/>
            <w:bottom w:w="0" w:type="dxa"/>
            <w:right w:w="108" w:type="dxa"/>
          </w:tblCellMar>
        </w:tblPrEx>
        <w:tc>
          <w:tcPr>
            <w:tcW w:w="628" w:type="dxa"/>
            <w:tcBorders>
              <w:top w:val="single" w:color="auto" w:sz="10" w:space="0"/>
              <w:left w:val="single" w:color="auto" w:sz="10" w:space="0"/>
              <w:bottom w:val="single" w:color="auto" w:sz="10" w:space="0"/>
              <w:right w:val="single" w:color="auto" w:sz="10" w:space="0"/>
              <w:insideV w:val="single" w:sz="10" w:space="0"/>
            </w:tcBorders>
          </w:tcPr>
          <w:p w14:paraId="0C4ED4CC"/>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CE7593B">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87F9446">
            <w:pPr>
              <w:jc w:val="center"/>
            </w:pPr>
            <w:r>
              <w:rPr>
                <w:rFonts w:ascii="宋体" w:hAnsi="宋体" w:eastAsia="宋体"/>
                <w:sz w:val="16"/>
              </w:rPr>
              <w:t>二级指标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401F1F8">
            <w:pPr>
              <w:jc w:val="center"/>
            </w:pPr>
            <w:r>
              <w:rPr>
                <w:rFonts w:ascii="宋体" w:hAnsi="宋体" w:eastAsia="宋体"/>
                <w:sz w:val="16"/>
              </w:rPr>
              <w:t>三级指标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A09A18E">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979DBDE">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1FD8F62">
            <w:pPr>
              <w:jc w:val="center"/>
            </w:pPr>
            <w:r>
              <w:rPr>
                <w:rFonts w:ascii="宋体" w:hAnsi="宋体" w:eastAsia="宋体"/>
                <w:sz w:val="16"/>
              </w:rPr>
              <w:t>业绩值</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DFDC645">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D544E2">
            <w:pPr>
              <w:jc w:val="center"/>
            </w:pPr>
            <w:r>
              <w:rPr>
                <w:rFonts w:ascii="宋体" w:hAnsi="宋体" w:eastAsia="宋体"/>
                <w:sz w:val="16"/>
              </w:rPr>
              <w:t>得分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91A1206">
            <w:pPr>
              <w:jc w:val="center"/>
            </w:pPr>
            <w:r>
              <w:rPr>
                <w:rFonts w:ascii="宋体" w:hAnsi="宋体" w:eastAsia="宋体"/>
                <w:sz w:val="16"/>
              </w:rPr>
              <w:t>指标值设定依据</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C05D30A">
            <w:pPr>
              <w:jc w:val="center"/>
            </w:pPr>
            <w:r>
              <w:rPr>
                <w:rFonts w:ascii="宋体" w:hAnsi="宋体" w:eastAsia="宋体"/>
                <w:sz w:val="16"/>
              </w:rPr>
              <w:t>上年完成情况</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C2D7897">
            <w:pPr>
              <w:jc w:val="center"/>
            </w:pPr>
            <w:r>
              <w:rPr>
                <w:rFonts w:ascii="宋体" w:hAnsi="宋体" w:eastAsia="宋体"/>
                <w:sz w:val="16"/>
              </w:rPr>
              <w:t>赋分规则</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3EF6E9C3">
            <w:pPr>
              <w:jc w:val="center"/>
            </w:pPr>
            <w:r>
              <w:rPr>
                <w:rFonts w:ascii="宋体" w:hAnsi="宋体" w:eastAsia="宋体"/>
                <w:sz w:val="16"/>
              </w:rPr>
              <w:t>佐证资料</w:t>
            </w:r>
          </w:p>
        </w:tc>
        <w:tc>
          <w:tcPr>
            <w:tcW w:w="7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40D82">
            <w:pPr>
              <w:jc w:val="center"/>
            </w:pPr>
            <w:r>
              <w:rPr>
                <w:rFonts w:ascii="宋体" w:hAnsi="宋体" w:eastAsia="宋体"/>
                <w:sz w:val="16"/>
              </w:rPr>
              <w:t>偏差原因分析及改进措施</w:t>
            </w:r>
          </w:p>
        </w:tc>
      </w:tr>
      <w:tr w14:paraId="744E2746">
        <w:tblPrEx>
          <w:tblCellMar>
            <w:top w:w="0" w:type="dxa"/>
            <w:left w:w="108" w:type="dxa"/>
            <w:bottom w:w="0" w:type="dxa"/>
            <w:right w:w="108" w:type="dxa"/>
          </w:tblCellMar>
        </w:tblPrEx>
        <w:tc>
          <w:tcPr>
            <w:tcW w:w="628"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6AD75C">
            <w:pPr>
              <w:jc w:val="center"/>
            </w:pPr>
            <w:r>
              <w:rPr>
                <w:rFonts w:ascii="宋体" w:hAnsi="宋体" w:eastAsia="宋体"/>
                <w:sz w:val="16"/>
              </w:rPr>
              <w:t>年度绩效指标完成情况</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0E31F">
            <w:pPr>
              <w:jc w:val="center"/>
            </w:pPr>
            <w:r>
              <w:rPr>
                <w:rFonts w:ascii="宋体" w:hAnsi="宋体" w:eastAsia="宋体"/>
                <w:sz w:val="16"/>
              </w:rPr>
              <w:t>产出指标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68368E9">
            <w:pPr>
              <w:jc w:val="center"/>
            </w:pPr>
            <w:r>
              <w:rPr>
                <w:rFonts w:ascii="宋体" w:hAnsi="宋体" w:eastAsia="宋体"/>
                <w:sz w:val="16"/>
              </w:rPr>
              <w:t>数量指标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B2228B7">
            <w:pPr>
              <w:jc w:val="center"/>
            </w:pPr>
            <w:r>
              <w:rPr>
                <w:rFonts w:ascii="宋体" w:hAnsi="宋体" w:eastAsia="宋体"/>
                <w:sz w:val="16"/>
              </w:rPr>
              <w:t>按照施工合同工程量完成率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9AA3658">
            <w:pPr>
              <w:jc w:val="center"/>
            </w:pPr>
            <w:r>
              <w:rPr>
                <w:rFonts w:ascii="宋体" w:hAnsi="宋体" w:eastAsia="宋体"/>
                <w:sz w:val="16"/>
              </w:rPr>
              <w:t>18</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A13E7A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7C4D581">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5CC29F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012A91">
            <w:pPr>
              <w:jc w:val="center"/>
            </w:pPr>
            <w:r>
              <w:rPr>
                <w:rFonts w:ascii="宋体" w:hAnsi="宋体" w:eastAsia="宋体"/>
                <w:sz w:val="16"/>
              </w:rPr>
              <w:t>18</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1C9F59E">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47CC7D3">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9D7912A">
            <w:pPr>
              <w:jc w:val="center"/>
            </w:pPr>
            <w:r>
              <w:rPr>
                <w:rFonts w:ascii="宋体" w:hAnsi="宋体" w:eastAsia="宋体"/>
                <w:sz w:val="16"/>
              </w:rPr>
              <w:t>按照完成比例赋分</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718BB650">
            <w:pPr>
              <w:jc w:val="center"/>
            </w:pPr>
            <w:r>
              <w:rPr>
                <w:rFonts w:ascii="宋体" w:hAnsi="宋体" w:eastAsia="宋体"/>
                <w:sz w:val="16"/>
              </w:rPr>
              <w:t>工作资料,原始凭证</w:t>
            </w:r>
          </w:p>
        </w:tc>
        <w:tc>
          <w:tcPr>
            <w:tcW w:w="7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7A6A8">
            <w:pPr>
              <w:jc w:val="center"/>
            </w:pPr>
          </w:p>
        </w:tc>
      </w:tr>
      <w:tr w14:paraId="37DFBFA2">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5D8D182"/>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6268E031"/>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0809A11">
            <w:pPr>
              <w:jc w:val="center"/>
            </w:pPr>
            <w:r>
              <w:rPr>
                <w:rFonts w:ascii="宋体" w:hAnsi="宋体" w:eastAsia="宋体"/>
                <w:sz w:val="16"/>
              </w:rPr>
              <w:t>质量指标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E99C347">
            <w:pPr>
              <w:jc w:val="center"/>
            </w:pPr>
            <w:r>
              <w:rPr>
                <w:rFonts w:ascii="宋体" w:hAnsi="宋体" w:eastAsia="宋体"/>
                <w:sz w:val="16"/>
              </w:rPr>
              <w:t>工程竣工验收合格率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46DE98F">
            <w:pPr>
              <w:jc w:val="center"/>
            </w:pPr>
            <w:r>
              <w:rPr>
                <w:rFonts w:ascii="宋体" w:hAnsi="宋体" w:eastAsia="宋体"/>
                <w:sz w:val="16"/>
              </w:rPr>
              <w:t>12</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2A8565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9054542">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2794C0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293B36">
            <w:pPr>
              <w:jc w:val="center"/>
            </w:pPr>
            <w:r>
              <w:rPr>
                <w:rFonts w:ascii="宋体" w:hAnsi="宋体" w:eastAsia="宋体"/>
                <w:sz w:val="16"/>
              </w:rPr>
              <w:t>12</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00202E4">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A6BCC3D">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957D120">
            <w:pPr>
              <w:jc w:val="center"/>
            </w:pPr>
            <w:r>
              <w:rPr>
                <w:rFonts w:ascii="宋体" w:hAnsi="宋体" w:eastAsia="宋体"/>
                <w:sz w:val="16"/>
              </w:rPr>
              <w:t>直接赋分</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71848779">
            <w:pPr>
              <w:jc w:val="center"/>
            </w:pPr>
            <w:r>
              <w:rPr>
                <w:rFonts w:ascii="宋体" w:hAnsi="宋体" w:eastAsia="宋体"/>
                <w:sz w:val="16"/>
              </w:rPr>
              <w:t>工作资料</w:t>
            </w:r>
          </w:p>
        </w:tc>
        <w:tc>
          <w:tcPr>
            <w:tcW w:w="7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45A2D">
            <w:pPr>
              <w:jc w:val="center"/>
            </w:pPr>
          </w:p>
        </w:tc>
      </w:tr>
      <w:tr w14:paraId="0A00F1A5">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5F3E9206"/>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68CE79A"/>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9D0AAB">
            <w:pPr>
              <w:jc w:val="center"/>
            </w:pPr>
            <w:r>
              <w:rPr>
                <w:rFonts w:ascii="宋体" w:hAnsi="宋体" w:eastAsia="宋体"/>
                <w:sz w:val="16"/>
              </w:rPr>
              <w:t>时效指标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42B4910">
            <w:pPr>
              <w:jc w:val="center"/>
            </w:pPr>
            <w:r>
              <w:rPr>
                <w:rFonts w:ascii="宋体" w:hAnsi="宋体" w:eastAsia="宋体"/>
                <w:sz w:val="16"/>
              </w:rPr>
              <w:t>项目按计划开工及时率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A5D1CF1">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CDC9CD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6315A72">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B20A7D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74E4BC">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994C42E">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1D0C40D">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ECC110A">
            <w:pPr>
              <w:jc w:val="center"/>
            </w:pPr>
            <w:r>
              <w:rPr>
                <w:rFonts w:ascii="宋体" w:hAnsi="宋体" w:eastAsia="宋体"/>
                <w:sz w:val="16"/>
              </w:rPr>
              <w:t>按照完成比例赋分</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46455FAE">
            <w:pPr>
              <w:jc w:val="center"/>
            </w:pPr>
            <w:r>
              <w:rPr>
                <w:rFonts w:ascii="宋体" w:hAnsi="宋体" w:eastAsia="宋体"/>
                <w:sz w:val="16"/>
              </w:rPr>
              <w:t>工作资料,原始凭证</w:t>
            </w:r>
          </w:p>
        </w:tc>
        <w:tc>
          <w:tcPr>
            <w:tcW w:w="7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0B65B">
            <w:pPr>
              <w:jc w:val="center"/>
            </w:pPr>
          </w:p>
        </w:tc>
      </w:tr>
      <w:tr w14:paraId="68C5EB8A">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33AD4AD7"/>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5ACCFA3E"/>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ACAC3AE"/>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8492FE6">
            <w:pPr>
              <w:jc w:val="center"/>
            </w:pPr>
            <w:r>
              <w:rPr>
                <w:rFonts w:ascii="宋体" w:hAnsi="宋体" w:eastAsia="宋体"/>
                <w:sz w:val="16"/>
              </w:rPr>
              <w:t>项目按计划完工及时率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9A6E4C7">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F0E755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FCC5F9">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1BA857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3F89A1">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8774532">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EACAC8E">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6A535C0">
            <w:pPr>
              <w:jc w:val="center"/>
            </w:pPr>
            <w:r>
              <w:rPr>
                <w:rFonts w:ascii="宋体" w:hAnsi="宋体" w:eastAsia="宋体"/>
                <w:sz w:val="16"/>
              </w:rPr>
              <w:t>按照完成比例赋分</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14ECE69D">
            <w:pPr>
              <w:jc w:val="center"/>
            </w:pPr>
            <w:r>
              <w:rPr>
                <w:rFonts w:ascii="宋体" w:hAnsi="宋体" w:eastAsia="宋体"/>
                <w:sz w:val="16"/>
              </w:rPr>
              <w:t>工作资料</w:t>
            </w:r>
          </w:p>
        </w:tc>
        <w:tc>
          <w:tcPr>
            <w:tcW w:w="7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C3C1B">
            <w:pPr>
              <w:jc w:val="center"/>
            </w:pPr>
          </w:p>
        </w:tc>
      </w:tr>
      <w:tr w14:paraId="10C5C12D">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4A43556"/>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4453AB">
            <w:pPr>
              <w:jc w:val="center"/>
            </w:pPr>
            <w:r>
              <w:rPr>
                <w:rFonts w:ascii="宋体" w:hAnsi="宋体" w:eastAsia="宋体"/>
                <w:sz w:val="16"/>
              </w:rPr>
              <w:t>成本指标</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633FF0">
            <w:pPr>
              <w:jc w:val="center"/>
            </w:pPr>
            <w:r>
              <w:rPr>
                <w:rFonts w:ascii="宋体" w:hAnsi="宋体" w:eastAsia="宋体"/>
                <w:sz w:val="16"/>
              </w:rPr>
              <w:t>经济成本指标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A092071">
            <w:pPr>
              <w:jc w:val="center"/>
            </w:pPr>
            <w:r>
              <w:rPr>
                <w:rFonts w:ascii="宋体" w:hAnsi="宋体" w:eastAsia="宋体"/>
                <w:sz w:val="16"/>
              </w:rPr>
              <w:t>建设工程施工费</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82B3F24">
            <w:pPr>
              <w:jc w:val="center"/>
            </w:pPr>
            <w:r>
              <w:rPr>
                <w:rFonts w:ascii="宋体" w:hAnsi="宋体" w:eastAsia="宋体"/>
                <w:sz w:val="16"/>
              </w:rPr>
              <w:t>15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9641947">
            <w:pPr>
              <w:jc w:val="center"/>
            </w:pPr>
            <w:r>
              <w:rPr>
                <w:rFonts w:ascii="宋体" w:hAnsi="宋体" w:eastAsia="宋体"/>
                <w:sz w:val="16"/>
              </w:rPr>
              <w:t>&lt;=47.74万元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6C77EB">
            <w:pPr>
              <w:jc w:val="center"/>
            </w:pPr>
            <w:r>
              <w:rPr>
                <w:rFonts w:ascii="宋体" w:hAnsi="宋体" w:eastAsia="宋体"/>
                <w:sz w:val="16"/>
              </w:rPr>
              <w:t>=47.74万元</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AC74B8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9EAF45">
            <w:pPr>
              <w:jc w:val="center"/>
            </w:pPr>
            <w:r>
              <w:rPr>
                <w:rFonts w:ascii="宋体" w:hAnsi="宋体" w:eastAsia="宋体"/>
                <w:sz w:val="16"/>
              </w:rPr>
              <w:t>15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56C90EB">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49B41C9">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2402537">
            <w:pPr>
              <w:jc w:val="center"/>
            </w:pPr>
            <w:r>
              <w:rPr>
                <w:rFonts w:ascii="宋体" w:hAnsi="宋体" w:eastAsia="宋体"/>
                <w:sz w:val="16"/>
              </w:rPr>
              <w:t>按照完成比例赋分</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66C66407">
            <w:pPr>
              <w:jc w:val="center"/>
            </w:pPr>
            <w:r>
              <w:rPr>
                <w:rFonts w:ascii="宋体" w:hAnsi="宋体" w:eastAsia="宋体"/>
                <w:sz w:val="16"/>
              </w:rPr>
              <w:t>工作资料,原始凭证</w:t>
            </w:r>
          </w:p>
        </w:tc>
        <w:tc>
          <w:tcPr>
            <w:tcW w:w="7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09622">
            <w:pPr>
              <w:jc w:val="center"/>
            </w:pPr>
          </w:p>
        </w:tc>
      </w:tr>
      <w:tr w14:paraId="125D9525">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180E103C"/>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095D9359"/>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7CEBEEB"/>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2F5B8A0">
            <w:pPr>
              <w:jc w:val="center"/>
            </w:pPr>
            <w:r>
              <w:rPr>
                <w:rFonts w:ascii="宋体" w:hAnsi="宋体" w:eastAsia="宋体"/>
                <w:sz w:val="16"/>
              </w:rPr>
              <w:t>项目预算控制率</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10D4009">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E8D1DFE">
            <w:pPr>
              <w:jc w:val="center"/>
            </w:pPr>
            <w:r>
              <w:rPr>
                <w:rFonts w:ascii="宋体" w:hAnsi="宋体" w:eastAsia="宋体"/>
                <w:sz w:val="16"/>
              </w:rPr>
              <w:t>&lt;=100%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9D1DDF">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CF2C7D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31FF70">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C4A0F8C">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91C0E27">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5279CB9">
            <w:pPr>
              <w:jc w:val="center"/>
            </w:pPr>
            <w:r>
              <w:rPr>
                <w:rFonts w:ascii="宋体" w:hAnsi="宋体" w:eastAsia="宋体"/>
                <w:sz w:val="16"/>
              </w:rPr>
              <w:t>按照完成比例赋分</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00C9368A">
            <w:pPr>
              <w:jc w:val="center"/>
            </w:pPr>
            <w:r>
              <w:rPr>
                <w:rFonts w:ascii="宋体" w:hAnsi="宋体" w:eastAsia="宋体"/>
                <w:sz w:val="16"/>
              </w:rPr>
              <w:t>工作资料,原始凭证</w:t>
            </w:r>
          </w:p>
        </w:tc>
        <w:tc>
          <w:tcPr>
            <w:tcW w:w="7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F6B9B">
            <w:pPr>
              <w:jc w:val="center"/>
            </w:pPr>
          </w:p>
        </w:tc>
      </w:tr>
      <w:tr w14:paraId="25AE9065">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20CFEC4"/>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56601">
            <w:pPr>
              <w:jc w:val="center"/>
            </w:pPr>
            <w:r>
              <w:rPr>
                <w:rFonts w:ascii="宋体" w:hAnsi="宋体" w:eastAsia="宋体"/>
                <w:sz w:val="16"/>
              </w:rPr>
              <w:t>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846E80C">
            <w:pPr>
              <w:jc w:val="center"/>
            </w:pPr>
            <w:r>
              <w:rPr>
                <w:rFonts w:ascii="宋体" w:hAnsi="宋体" w:eastAsia="宋体"/>
                <w:sz w:val="16"/>
              </w:rPr>
              <w:t>经济效益指标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C421A62">
            <w:pPr>
              <w:jc w:val="center"/>
            </w:pPr>
            <w:r>
              <w:rPr>
                <w:rFonts w:ascii="宋体" w:hAnsi="宋体" w:eastAsia="宋体"/>
                <w:sz w:val="16"/>
              </w:rPr>
              <w:t>有效节约财政资金</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D4DD632">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E870C20">
            <w:pPr>
              <w:jc w:val="center"/>
            </w:pPr>
            <w:r>
              <w:rPr>
                <w:rFonts w:ascii="宋体" w:hAnsi="宋体" w:eastAsia="宋体"/>
                <w:sz w:val="16"/>
              </w:rPr>
              <w:t>有效保障</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5A93FF">
            <w:pPr>
              <w:jc w:val="center"/>
            </w:pPr>
            <w:r>
              <w:rPr>
                <w:rFonts w:ascii="宋体" w:hAnsi="宋体" w:eastAsia="宋体"/>
                <w:sz w:val="16"/>
              </w:rPr>
              <w:t>有效保障</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0F3EFB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D689A3">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9D873DB">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8256C79">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9429728">
            <w:pPr>
              <w:jc w:val="center"/>
            </w:pPr>
            <w:r>
              <w:rPr>
                <w:rFonts w:ascii="宋体" w:hAnsi="宋体" w:eastAsia="宋体"/>
                <w:sz w:val="16"/>
              </w:rPr>
              <w:t>按评判等级赋分</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27A295F8">
            <w:pPr>
              <w:jc w:val="center"/>
            </w:pPr>
            <w:r>
              <w:rPr>
                <w:rFonts w:ascii="宋体" w:hAnsi="宋体" w:eastAsia="宋体"/>
                <w:sz w:val="16"/>
              </w:rPr>
              <w:t>工作资料</w:t>
            </w:r>
          </w:p>
        </w:tc>
        <w:tc>
          <w:tcPr>
            <w:tcW w:w="7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2B390">
            <w:pPr>
              <w:jc w:val="center"/>
            </w:pPr>
          </w:p>
        </w:tc>
      </w:tr>
      <w:tr w14:paraId="1D0A11BE">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73F416F0"/>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DF27E8B"/>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914E09B">
            <w:pPr>
              <w:jc w:val="center"/>
            </w:pPr>
            <w:r>
              <w:rPr>
                <w:rFonts w:ascii="宋体" w:hAnsi="宋体" w:eastAsia="宋体"/>
                <w:sz w:val="16"/>
              </w:rPr>
              <w:t>社会效益指标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6B6E4C0">
            <w:pPr>
              <w:jc w:val="center"/>
            </w:pPr>
            <w:r>
              <w:rPr>
                <w:rFonts w:ascii="宋体" w:hAnsi="宋体" w:eastAsia="宋体"/>
                <w:sz w:val="16"/>
              </w:rPr>
              <w:t>满足群众日常资料查询及档案馆正常投入使用</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91AAE20">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0748AD6">
            <w:pPr>
              <w:jc w:val="center"/>
            </w:pPr>
            <w:r>
              <w:rPr>
                <w:rFonts w:ascii="宋体" w:hAnsi="宋体" w:eastAsia="宋体"/>
                <w:sz w:val="16"/>
              </w:rPr>
              <w:t>有效提升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9622BC">
            <w:pPr>
              <w:jc w:val="center"/>
            </w:pPr>
            <w:r>
              <w:rPr>
                <w:rFonts w:ascii="宋体" w:hAnsi="宋体" w:eastAsia="宋体"/>
                <w:sz w:val="16"/>
              </w:rPr>
              <w:t>有效提升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4DE09F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73ECD6">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64227E8">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CAD499A">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A0F291A">
            <w:pPr>
              <w:jc w:val="center"/>
            </w:pPr>
            <w:r>
              <w:rPr>
                <w:rFonts w:ascii="宋体" w:hAnsi="宋体" w:eastAsia="宋体"/>
                <w:sz w:val="16"/>
              </w:rPr>
              <w:t>按评判等级赋分</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5E4C2390">
            <w:pPr>
              <w:jc w:val="center"/>
            </w:pPr>
            <w:r>
              <w:rPr>
                <w:rFonts w:ascii="宋体" w:hAnsi="宋体" w:eastAsia="宋体"/>
                <w:sz w:val="16"/>
              </w:rPr>
              <w:t>工作资料,原始凭证</w:t>
            </w:r>
          </w:p>
        </w:tc>
        <w:tc>
          <w:tcPr>
            <w:tcW w:w="7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E5F33">
            <w:pPr>
              <w:jc w:val="center"/>
            </w:pPr>
          </w:p>
        </w:tc>
      </w:tr>
      <w:tr w14:paraId="52229600">
        <w:tblPrEx>
          <w:tblCellMar>
            <w:top w:w="0" w:type="dxa"/>
            <w:left w:w="108" w:type="dxa"/>
            <w:bottom w:w="0" w:type="dxa"/>
            <w:right w:w="108" w:type="dxa"/>
          </w:tblCellMar>
        </w:tblPrEx>
        <w:tc>
          <w:tcPr>
            <w:tcW w:w="628" w:type="dxa"/>
            <w:vMerge w:val="continue"/>
            <w:tcBorders>
              <w:top w:val="single" w:color="auto" w:sz="10" w:space="0"/>
              <w:left w:val="single" w:color="auto" w:sz="10" w:space="0"/>
              <w:bottom w:val="single" w:color="auto" w:sz="10" w:space="0"/>
              <w:right w:val="single" w:color="auto" w:sz="10" w:space="0"/>
              <w:insideV w:val="single" w:sz="10" w:space="0"/>
            </w:tcBorders>
          </w:tcPr>
          <w:p w14:paraId="65D8CBF8"/>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1B1171A">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4B19274">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2C066E7">
            <w:pPr>
              <w:jc w:val="center"/>
            </w:pPr>
            <w:r>
              <w:rPr>
                <w:rFonts w:ascii="宋体" w:hAnsi="宋体" w:eastAsia="宋体"/>
                <w:sz w:val="16"/>
              </w:rPr>
              <w:t>服务单位满意度</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0831159D">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F845351">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6495862">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4036B65">
            <w:pPr>
              <w:jc w:val="center"/>
            </w:pPr>
            <w:r>
              <w:rPr>
                <w:rFonts w:ascii="宋体" w:hAnsi="宋体" w:eastAsia="宋体"/>
                <w:sz w:val="16"/>
              </w:rPr>
              <w:t>105%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1F3AE90">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E88C14B">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940217C">
            <w:pPr>
              <w:jc w:val="center"/>
            </w:pPr>
            <w:r>
              <w:rPr>
                <w:rFonts w:ascii="宋体" w:hAnsi="宋体" w:eastAsia="宋体"/>
                <w:sz w:val="16"/>
              </w:rPr>
              <w:t>-</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5A962E0">
            <w:pPr>
              <w:jc w:val="center"/>
            </w:pPr>
            <w:r>
              <w:rPr>
                <w:rFonts w:ascii="宋体" w:hAnsi="宋体" w:eastAsia="宋体"/>
                <w:sz w:val="16"/>
              </w:rPr>
              <w:t>满意度赋分</w:t>
            </w:r>
          </w:p>
        </w:tc>
        <w:tc>
          <w:tcPr>
            <w:tcW w:w="538" w:type="dxa"/>
            <w:tcBorders>
              <w:top w:val="single" w:color="auto" w:sz="10" w:space="0"/>
              <w:left w:val="single" w:color="auto" w:sz="10" w:space="0"/>
              <w:bottom w:val="single" w:color="auto" w:sz="10" w:space="0"/>
              <w:right w:val="single" w:color="auto" w:sz="10" w:space="0"/>
              <w:insideV w:val="single" w:sz="10" w:space="0"/>
            </w:tcBorders>
            <w:vAlign w:val="center"/>
          </w:tcPr>
          <w:p w14:paraId="57212F83">
            <w:pPr>
              <w:jc w:val="center"/>
            </w:pPr>
            <w:r>
              <w:rPr>
                <w:rFonts w:ascii="宋体" w:hAnsi="宋体" w:eastAsia="宋体"/>
                <w:sz w:val="16"/>
              </w:rPr>
              <w:t>工作资料</w:t>
            </w:r>
          </w:p>
        </w:tc>
        <w:tc>
          <w:tcPr>
            <w:tcW w:w="7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C7AEA">
            <w:pPr>
              <w:jc w:val="center"/>
            </w:pPr>
            <w:r>
              <w:rPr>
                <w:rFonts w:ascii="宋体" w:hAnsi="宋体" w:eastAsia="宋体"/>
                <w:sz w:val="16"/>
              </w:rPr>
              <w:t>通过调研，服务单位对项目实施比较满意。</w:t>
            </w:r>
          </w:p>
        </w:tc>
      </w:tr>
      <w:tr w14:paraId="6D536023">
        <w:tblPrEx>
          <w:tblCellMar>
            <w:top w:w="0" w:type="dxa"/>
            <w:left w:w="108" w:type="dxa"/>
            <w:bottom w:w="0" w:type="dxa"/>
            <w:right w:w="108" w:type="dxa"/>
          </w:tblCellMar>
        </w:tblPrEx>
        <w:tc>
          <w:tcPr>
            <w:tcW w:w="250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F9678A">
            <w:pPr>
              <w:jc w:val="center"/>
            </w:pPr>
            <w:r>
              <w:rPr>
                <w:rFonts w:ascii="宋体" w:hAnsi="宋体" w:eastAsia="宋体"/>
                <w:sz w:val="16"/>
              </w:rPr>
              <w:t>总分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B4BB849">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2719FAE2"/>
        </w:tc>
        <w:tc>
          <w:tcPr>
            <w:tcW w:w="696" w:type="dxa"/>
            <w:tcBorders>
              <w:top w:val="single" w:color="auto" w:sz="10" w:space="0"/>
              <w:left w:val="single" w:color="auto" w:sz="10" w:space="0"/>
              <w:bottom w:val="single" w:color="auto" w:sz="10" w:space="0"/>
              <w:right w:val="single" w:color="auto" w:sz="10" w:space="0"/>
              <w:insideV w:val="single" w:sz="10" w:space="0"/>
            </w:tcBorders>
          </w:tcPr>
          <w:p w14:paraId="269D5D6C"/>
        </w:tc>
        <w:tc>
          <w:tcPr>
            <w:tcW w:w="629" w:type="dxa"/>
            <w:tcBorders>
              <w:top w:val="single" w:color="auto" w:sz="10" w:space="0"/>
              <w:left w:val="single" w:color="auto" w:sz="10" w:space="0"/>
              <w:bottom w:val="single" w:color="auto" w:sz="10" w:space="0"/>
              <w:right w:val="single" w:color="auto" w:sz="10" w:space="0"/>
              <w:insideV w:val="single" w:sz="10" w:space="0"/>
            </w:tcBorders>
          </w:tcPr>
          <w:p w14:paraId="0E552FD6"/>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5C7E21B">
            <w:pPr>
              <w:jc w:val="center"/>
            </w:pPr>
            <w:r>
              <w:rPr>
                <w:rFonts w:ascii="宋体" w:hAnsi="宋体" w:eastAsia="宋体"/>
                <w:sz w:val="16"/>
              </w:rPr>
              <w:t>100.00分</w:t>
            </w:r>
          </w:p>
        </w:tc>
        <w:tc>
          <w:tcPr>
            <w:tcW w:w="625" w:type="dxa"/>
            <w:tcBorders>
              <w:top w:val="single" w:color="auto" w:sz="10" w:space="0"/>
              <w:left w:val="single" w:color="auto" w:sz="10" w:space="0"/>
              <w:bottom w:val="single" w:color="auto" w:sz="10" w:space="0"/>
              <w:right w:val="single" w:color="auto" w:sz="10" w:space="0"/>
              <w:insideV w:val="single" w:sz="10" w:space="0"/>
            </w:tcBorders>
          </w:tcPr>
          <w:p w14:paraId="3A5FFCAE"/>
        </w:tc>
        <w:tc>
          <w:tcPr>
            <w:tcW w:w="625" w:type="dxa"/>
            <w:tcBorders>
              <w:top w:val="single" w:color="auto" w:sz="10" w:space="0"/>
              <w:left w:val="single" w:color="auto" w:sz="10" w:space="0"/>
              <w:bottom w:val="single" w:color="auto" w:sz="10" w:space="0"/>
              <w:right w:val="single" w:color="auto" w:sz="10" w:space="0"/>
              <w:insideV w:val="single" w:sz="10" w:space="0"/>
            </w:tcBorders>
          </w:tcPr>
          <w:p w14:paraId="659DA92B"/>
        </w:tc>
        <w:tc>
          <w:tcPr>
            <w:tcW w:w="625" w:type="dxa"/>
            <w:tcBorders>
              <w:top w:val="single" w:color="auto" w:sz="10" w:space="0"/>
              <w:left w:val="single" w:color="auto" w:sz="10" w:space="0"/>
              <w:bottom w:val="single" w:color="auto" w:sz="10" w:space="0"/>
              <w:right w:val="single" w:color="auto" w:sz="10" w:space="0"/>
              <w:insideV w:val="single" w:sz="10" w:space="0"/>
            </w:tcBorders>
          </w:tcPr>
          <w:p w14:paraId="7AC7ABB7"/>
        </w:tc>
        <w:tc>
          <w:tcPr>
            <w:tcW w:w="538" w:type="dxa"/>
            <w:tcBorders>
              <w:top w:val="single" w:color="auto" w:sz="10" w:space="0"/>
              <w:left w:val="single" w:color="auto" w:sz="10" w:space="0"/>
              <w:bottom w:val="single" w:color="auto" w:sz="10" w:space="0"/>
              <w:right w:val="single" w:color="auto" w:sz="10" w:space="0"/>
              <w:insideV w:val="single" w:sz="10" w:space="0"/>
            </w:tcBorders>
          </w:tcPr>
          <w:p w14:paraId="04EA69D4"/>
        </w:tc>
        <w:tc>
          <w:tcPr>
            <w:tcW w:w="721" w:type="dxa"/>
            <w:gridSpan w:val="2"/>
            <w:tcBorders>
              <w:top w:val="single" w:color="auto" w:sz="10" w:space="0"/>
              <w:left w:val="single" w:color="auto" w:sz="10" w:space="0"/>
              <w:bottom w:val="single" w:color="auto" w:sz="10" w:space="0"/>
              <w:right w:val="single" w:color="auto" w:sz="10" w:space="0"/>
              <w:insideV w:val="single" w:sz="10" w:space="0"/>
            </w:tcBorders>
          </w:tcPr>
          <w:p w14:paraId="60900146"/>
        </w:tc>
      </w:tr>
    </w:tbl>
    <w:p w14:paraId="43A593FA">
      <w:r>
        <w:br w:type="page"/>
      </w:r>
    </w:p>
    <w:p w14:paraId="62F2A302">
      <w:pPr>
        <w:spacing w:line="640" w:lineRule="exact"/>
        <w:ind w:firstLine="640"/>
        <w:jc w:val="both"/>
        <w:outlineLvl w:val="2"/>
      </w:pPr>
      <w:r>
        <w:rPr>
          <w:rFonts w:ascii="黑体" w:hAnsi="黑体" w:eastAsia="黑体"/>
          <w:sz w:val="32"/>
        </w:rPr>
        <w:t>十二、其他需说明的事项</w:t>
      </w:r>
    </w:p>
    <w:p w14:paraId="603FE129">
      <w:pPr>
        <w:spacing w:line="580" w:lineRule="exact"/>
        <w:ind w:firstLine="640"/>
        <w:jc w:val="both"/>
      </w:pPr>
      <w:r>
        <w:rPr>
          <w:rFonts w:ascii="仿宋_GB2312" w:hAnsi="仿宋_GB2312" w:eastAsia="仿宋_GB2312"/>
          <w:b w:val="0"/>
          <w:sz w:val="32"/>
        </w:rPr>
        <w:t>本单位无其他需要说明的事项。</w:t>
      </w:r>
    </w:p>
    <w:p w14:paraId="64F8E1B8">
      <w:r>
        <w:br w:type="page"/>
      </w:r>
    </w:p>
    <w:p w14:paraId="73842697">
      <w:pPr>
        <w:spacing w:line="240" w:lineRule="auto"/>
        <w:jc w:val="center"/>
        <w:outlineLvl w:val="1"/>
      </w:pPr>
      <w:r>
        <w:rPr>
          <w:rFonts w:ascii="黑体" w:hAnsi="黑体" w:eastAsia="黑体"/>
          <w:sz w:val="32"/>
        </w:rPr>
        <w:t>第三部分 专业名词解释</w:t>
      </w:r>
    </w:p>
    <w:p w14:paraId="63298EC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E12869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C49648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979DA2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29E1D8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B722CA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10679D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6C61CA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2A6368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A52249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072491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9AE9BD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912541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CE765E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CA638A6">
      <w:r>
        <w:br w:type="page"/>
      </w:r>
    </w:p>
    <w:p w14:paraId="4B66737A">
      <w:pPr>
        <w:spacing w:line="240" w:lineRule="auto"/>
        <w:jc w:val="center"/>
        <w:outlineLvl w:val="1"/>
      </w:pPr>
      <w:r>
        <w:rPr>
          <w:rFonts w:ascii="黑体" w:hAnsi="黑体" w:eastAsia="黑体"/>
          <w:sz w:val="32"/>
        </w:rPr>
        <w:t>第四部分 部门决算报表（见附表）</w:t>
      </w:r>
    </w:p>
    <w:p w14:paraId="58B41C21">
      <w:pPr>
        <w:spacing w:line="240" w:lineRule="auto"/>
        <w:ind w:firstLine="640"/>
        <w:jc w:val="both"/>
      </w:pPr>
      <w:r>
        <w:rPr>
          <w:rFonts w:ascii="仿宋_GB2312" w:hAnsi="仿宋_GB2312" w:eastAsia="仿宋_GB2312"/>
          <w:b w:val="0"/>
          <w:sz w:val="32"/>
        </w:rPr>
        <w:t>一、《收入支出决算总表》</w:t>
      </w:r>
    </w:p>
    <w:p w14:paraId="0F93FAE5">
      <w:pPr>
        <w:spacing w:line="240" w:lineRule="auto"/>
        <w:ind w:firstLine="640"/>
        <w:jc w:val="both"/>
      </w:pPr>
      <w:r>
        <w:rPr>
          <w:rFonts w:ascii="仿宋_GB2312" w:hAnsi="仿宋_GB2312" w:eastAsia="仿宋_GB2312"/>
          <w:b w:val="0"/>
          <w:sz w:val="32"/>
        </w:rPr>
        <w:t>二、《收入决算表》</w:t>
      </w:r>
    </w:p>
    <w:p w14:paraId="11073299">
      <w:pPr>
        <w:spacing w:line="240" w:lineRule="auto"/>
        <w:ind w:firstLine="640"/>
        <w:jc w:val="both"/>
      </w:pPr>
      <w:r>
        <w:rPr>
          <w:rFonts w:ascii="仿宋_GB2312" w:hAnsi="仿宋_GB2312" w:eastAsia="仿宋_GB2312"/>
          <w:b w:val="0"/>
          <w:sz w:val="32"/>
        </w:rPr>
        <w:t>三、《支出决算表》</w:t>
      </w:r>
    </w:p>
    <w:p w14:paraId="42CE1623">
      <w:pPr>
        <w:spacing w:line="240" w:lineRule="auto"/>
        <w:ind w:firstLine="640"/>
        <w:jc w:val="both"/>
      </w:pPr>
      <w:r>
        <w:rPr>
          <w:rFonts w:ascii="仿宋_GB2312" w:hAnsi="仿宋_GB2312" w:eastAsia="仿宋_GB2312"/>
          <w:b w:val="0"/>
          <w:sz w:val="32"/>
        </w:rPr>
        <w:t>四、《财政拨款收入支出决算总表》</w:t>
      </w:r>
    </w:p>
    <w:p w14:paraId="1132F6DC">
      <w:pPr>
        <w:spacing w:line="240" w:lineRule="auto"/>
        <w:ind w:firstLine="640"/>
        <w:jc w:val="both"/>
      </w:pPr>
      <w:r>
        <w:rPr>
          <w:rFonts w:ascii="仿宋_GB2312" w:hAnsi="仿宋_GB2312" w:eastAsia="仿宋_GB2312"/>
          <w:b w:val="0"/>
          <w:sz w:val="32"/>
        </w:rPr>
        <w:t>五、《一般公共预算财政拨款支出决算表》</w:t>
      </w:r>
    </w:p>
    <w:p w14:paraId="426F5F2D">
      <w:pPr>
        <w:spacing w:line="240" w:lineRule="auto"/>
        <w:ind w:firstLine="640"/>
        <w:jc w:val="both"/>
      </w:pPr>
      <w:r>
        <w:rPr>
          <w:rFonts w:ascii="仿宋_GB2312" w:hAnsi="仿宋_GB2312" w:eastAsia="仿宋_GB2312"/>
          <w:b w:val="0"/>
          <w:sz w:val="32"/>
        </w:rPr>
        <w:t>六、《一般公共预算财政拨款基本支出决算表》</w:t>
      </w:r>
    </w:p>
    <w:p w14:paraId="64DBEAE7">
      <w:pPr>
        <w:spacing w:line="240" w:lineRule="auto"/>
        <w:ind w:firstLine="640"/>
        <w:jc w:val="both"/>
      </w:pPr>
      <w:r>
        <w:rPr>
          <w:rFonts w:ascii="仿宋_GB2312" w:hAnsi="仿宋_GB2312" w:eastAsia="仿宋_GB2312"/>
          <w:b w:val="0"/>
          <w:sz w:val="32"/>
        </w:rPr>
        <w:t>七、《政府性基金预算财政拨款收入支出决算表》</w:t>
      </w:r>
    </w:p>
    <w:p w14:paraId="42E008C0">
      <w:pPr>
        <w:spacing w:line="240" w:lineRule="auto"/>
        <w:ind w:firstLine="640"/>
        <w:jc w:val="both"/>
      </w:pPr>
      <w:r>
        <w:rPr>
          <w:rFonts w:ascii="仿宋_GB2312" w:hAnsi="仿宋_GB2312" w:eastAsia="仿宋_GB2312"/>
          <w:b w:val="0"/>
          <w:sz w:val="32"/>
        </w:rPr>
        <w:t>八、《国有资本经营预算财政拨款收入支出决算表》</w:t>
      </w:r>
    </w:p>
    <w:p w14:paraId="1004DB45">
      <w:pPr>
        <w:spacing w:line="240" w:lineRule="auto"/>
        <w:ind w:firstLine="640"/>
        <w:jc w:val="both"/>
      </w:pPr>
      <w:r>
        <w:rPr>
          <w:rFonts w:ascii="仿宋_GB2312" w:hAnsi="仿宋_GB2312" w:eastAsia="仿宋_GB2312"/>
          <w:b w:val="0"/>
          <w:sz w:val="32"/>
        </w:rPr>
        <w:t>九、《财政拨款“三公”经费支出决算表》</w:t>
      </w:r>
    </w:p>
    <w:p w14:paraId="6851BD8F">
      <w:pPr>
        <w:spacing w:line="240" w:lineRule="auto"/>
        <w:ind w:firstLine="640"/>
        <w:jc w:val="both"/>
      </w:pPr>
    </w:p>
    <w:p w14:paraId="6564A745">
      <w:pPr>
        <w:spacing w:line="240" w:lineRule="auto"/>
        <w:ind w:firstLine="640"/>
        <w:jc w:val="both"/>
      </w:pPr>
    </w:p>
    <w:p w14:paraId="58D4A737">
      <w:pPr>
        <w:spacing w:line="240" w:lineRule="auto"/>
        <w:ind w:firstLine="640"/>
        <w:jc w:val="both"/>
      </w:pPr>
    </w:p>
    <w:p w14:paraId="315AB274">
      <w:pPr>
        <w:spacing w:line="240" w:lineRule="auto"/>
        <w:ind w:firstLine="640"/>
        <w:jc w:val="both"/>
      </w:pPr>
    </w:p>
    <w:p w14:paraId="25321C4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70C5F29"/>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8E0146F"/>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5313</Words>
  <Characters>6152</Characters>
  <Lines>0</Lines>
  <Paragraphs>0</Paragraphs>
  <TotalTime>10</TotalTime>
  <ScaleCrop>false</ScaleCrop>
  <LinksUpToDate>false</LinksUpToDate>
  <CharactersWithSpaces>6160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2025-10-14T03:53:59Z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eyJoZGlkIjoiOGQ0ZWIyZDA4MGU4OTg1MzhmNDY5YTA0MWQ2OWM3ZjEiLCJ1c2VySWQiOiIyMDM3MTI1NTkifQ==</vt:lpwstr>
  </property>
</Properties>
</file>