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吉木萨尔县政务服务和公共资源交易管理局2024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DC0C1F4">
      <w:r>
        <w:br w:type="page"/>
      </w:r>
    </w:p>
    <w:p w14:paraId="5F764008">
      <w:pPr>
        <w:spacing w:line="640" w:lineRule="exact"/>
        <w:jc w:val="center"/>
        <w:outlineLvl w:val="1"/>
      </w:pPr>
      <w:r>
        <w:rPr>
          <w:rFonts w:ascii="黑体" w:hAnsi="黑体" w:eastAsia="黑体"/>
          <w:sz w:val="32"/>
        </w:rPr>
        <w:t>第一部分 单位概况</w:t>
      </w:r>
    </w:p>
    <w:p w14:paraId="43BE18E6">
      <w:pPr>
        <w:spacing w:line="640" w:lineRule="exact"/>
        <w:ind w:firstLine="640"/>
        <w:jc w:val="both"/>
        <w:outlineLvl w:val="2"/>
      </w:pPr>
      <w:r>
        <w:rPr>
          <w:rFonts w:ascii="黑体" w:hAnsi="黑体" w:eastAsia="黑体"/>
          <w:sz w:val="32"/>
        </w:rPr>
        <w:t>一、主要职能</w:t>
      </w:r>
    </w:p>
    <w:p w14:paraId="33FACA11">
      <w:pPr>
        <w:spacing w:line="580" w:lineRule="exact"/>
        <w:ind w:firstLine="640"/>
        <w:jc w:val="both"/>
      </w:pPr>
      <w:r>
        <w:rPr>
          <w:rFonts w:ascii="仿宋_GB2312" w:hAnsi="仿宋_GB2312" w:eastAsia="仿宋_GB2312"/>
          <w:sz w:val="32"/>
        </w:rPr>
        <w:t>实行一站式办公，一条龙服务打造服务最优和最佳环境对政务服务大厅进驻部门行政许可和面向公众服务工作进行协调管理；集中办理本级政府权限范围内的行政许可事项和服务项目、集信息与咨询、管理与协调、投诉与监督于一体的综合性行政服务，加大管理力度，强化政府职能；为部门（公众）履行行政许可提供服务。</w:t>
      </w:r>
    </w:p>
    <w:p w14:paraId="415E13F3">
      <w:pPr>
        <w:spacing w:line="640" w:lineRule="exact"/>
        <w:ind w:firstLine="640"/>
        <w:jc w:val="both"/>
        <w:outlineLvl w:val="2"/>
      </w:pPr>
      <w:r>
        <w:rPr>
          <w:rFonts w:ascii="黑体" w:hAnsi="黑体" w:eastAsia="黑体"/>
          <w:sz w:val="32"/>
        </w:rPr>
        <w:t>二、机构设置及人员情况</w:t>
      </w:r>
    </w:p>
    <w:p w14:paraId="4FAB73BC">
      <w:pPr>
        <w:spacing w:line="580" w:lineRule="exact"/>
        <w:ind w:firstLine="640"/>
        <w:jc w:val="both"/>
      </w:pPr>
      <w:r>
        <w:rPr>
          <w:rFonts w:ascii="仿宋_GB2312" w:hAnsi="仿宋_GB2312" w:eastAsia="仿宋_GB2312"/>
          <w:sz w:val="32"/>
        </w:rPr>
        <w:t>吉木萨尔县政务服务和公共资源交易管理局2024年度，实有人数10人，其中：在职人员9人，减少1人；离休人员0人，增加0人；退休人员1人</w:t>
      </w:r>
      <w:bookmarkStart w:id="0" w:name="_GoBack"/>
      <w:r>
        <w:rPr>
          <w:rFonts w:ascii="仿宋_GB2312" w:hAnsi="仿宋_GB2312" w:eastAsia="仿宋_GB2312"/>
          <w:sz w:val="32"/>
        </w:rPr>
        <w:t>,</w:t>
      </w:r>
      <w:bookmarkEnd w:id="0"/>
      <w:r>
        <w:rPr>
          <w:rFonts w:ascii="仿宋_GB2312" w:hAnsi="仿宋_GB2312" w:eastAsia="仿宋_GB2312"/>
          <w:sz w:val="32"/>
        </w:rPr>
        <w:t>增加0人。</w:t>
      </w:r>
    </w:p>
    <w:p w14:paraId="62CE7D26">
      <w:pPr>
        <w:spacing w:line="580" w:lineRule="exact"/>
        <w:ind w:firstLine="640"/>
        <w:jc w:val="both"/>
      </w:pPr>
      <w:r>
        <w:rPr>
          <w:rFonts w:ascii="仿宋_GB2312" w:hAnsi="仿宋_GB2312" w:eastAsia="仿宋_GB2312"/>
          <w:sz w:val="32"/>
        </w:rPr>
        <w:t>吉木萨尔县政务服务和公共资源交易管理局无下属预算单位，下设6个科室，分别是：综合办公室、政务服务科、政府采购中心、效能科、12345热线、财务室。</w:t>
      </w:r>
    </w:p>
    <w:p w14:paraId="644F9627">
      <w:r>
        <w:br w:type="page"/>
      </w:r>
    </w:p>
    <w:p w14:paraId="32817449">
      <w:pPr>
        <w:spacing w:line="240" w:lineRule="auto"/>
        <w:jc w:val="center"/>
        <w:outlineLvl w:val="1"/>
      </w:pPr>
      <w:r>
        <w:rPr>
          <w:rFonts w:ascii="黑体" w:hAnsi="黑体" w:eastAsia="黑体"/>
          <w:sz w:val="32"/>
        </w:rPr>
        <w:t>第二部分 部门决算情况说明</w:t>
      </w:r>
    </w:p>
    <w:p w14:paraId="35447601">
      <w:pPr>
        <w:spacing w:line="640" w:lineRule="exact"/>
        <w:ind w:firstLine="640"/>
        <w:jc w:val="both"/>
        <w:outlineLvl w:val="2"/>
      </w:pPr>
      <w:r>
        <w:rPr>
          <w:rFonts w:ascii="黑体" w:hAnsi="黑体" w:eastAsia="黑体"/>
          <w:sz w:val="32"/>
        </w:rPr>
        <w:t>一、收入支出决算总体情况说明</w:t>
      </w:r>
    </w:p>
    <w:p w14:paraId="4D625B9E">
      <w:pPr>
        <w:spacing w:line="580" w:lineRule="exact"/>
        <w:ind w:firstLine="640"/>
        <w:jc w:val="both"/>
      </w:pPr>
      <w:r>
        <w:rPr>
          <w:rFonts w:ascii="仿宋_GB2312" w:hAnsi="仿宋_GB2312" w:eastAsia="仿宋_GB2312"/>
          <w:b/>
          <w:sz w:val="32"/>
        </w:rPr>
        <w:t>2024年度收入总计503.70万元，</w:t>
      </w:r>
      <w:r>
        <w:rPr>
          <w:rFonts w:ascii="仿宋_GB2312" w:hAnsi="仿宋_GB2312" w:eastAsia="仿宋_GB2312"/>
          <w:b w:val="0"/>
          <w:sz w:val="32"/>
        </w:rPr>
        <w:t>其中：本年收入合计481.35万元，使用非财政拨款结余（含专用结余）0.00万元，年初结转和结余22.34万元。</w:t>
      </w:r>
    </w:p>
    <w:p w14:paraId="0E0CFF0F">
      <w:pPr>
        <w:spacing w:line="580" w:lineRule="exact"/>
        <w:ind w:firstLine="640"/>
        <w:jc w:val="both"/>
      </w:pPr>
      <w:r>
        <w:rPr>
          <w:rFonts w:ascii="仿宋_GB2312" w:hAnsi="仿宋_GB2312" w:eastAsia="仿宋_GB2312"/>
          <w:b/>
          <w:sz w:val="32"/>
        </w:rPr>
        <w:t>2024年度支出总计503.70万元，</w:t>
      </w:r>
      <w:r>
        <w:rPr>
          <w:rFonts w:ascii="仿宋_GB2312" w:hAnsi="仿宋_GB2312" w:eastAsia="仿宋_GB2312"/>
          <w:b w:val="0"/>
          <w:sz w:val="32"/>
        </w:rPr>
        <w:t>其中：本年支出合计481.35万元，结余分配0.00万元，年末结转和结余22.34万元。</w:t>
      </w:r>
    </w:p>
    <w:p w14:paraId="22595EB4">
      <w:pPr>
        <w:spacing w:line="580" w:lineRule="exact"/>
        <w:ind w:firstLine="640"/>
        <w:jc w:val="both"/>
      </w:pPr>
      <w:r>
        <w:rPr>
          <w:rFonts w:ascii="仿宋_GB2312" w:hAnsi="仿宋_GB2312" w:eastAsia="仿宋_GB2312"/>
          <w:b w:val="0"/>
          <w:sz w:val="32"/>
        </w:rPr>
        <w:t>收入支出总体与上年相比，增加20.30万元，增长4.20%，主要原因是：本年增加存量资金用于“一窗受理、集成服务”改革工作经费。</w:t>
      </w:r>
    </w:p>
    <w:p w14:paraId="2BFF2F20">
      <w:pPr>
        <w:spacing w:line="640" w:lineRule="exact"/>
        <w:ind w:firstLine="640"/>
        <w:jc w:val="both"/>
        <w:outlineLvl w:val="2"/>
      </w:pPr>
      <w:r>
        <w:rPr>
          <w:rFonts w:ascii="黑体" w:hAnsi="黑体" w:eastAsia="黑体"/>
          <w:sz w:val="32"/>
        </w:rPr>
        <w:t>二、收入决算情况说明</w:t>
      </w:r>
    </w:p>
    <w:p w14:paraId="3688399D">
      <w:pPr>
        <w:spacing w:line="580" w:lineRule="exact"/>
        <w:ind w:firstLine="640"/>
        <w:jc w:val="both"/>
      </w:pPr>
      <w:r>
        <w:rPr>
          <w:rFonts w:ascii="仿宋_GB2312" w:hAnsi="仿宋_GB2312" w:eastAsia="仿宋_GB2312"/>
          <w:b/>
          <w:sz w:val="32"/>
        </w:rPr>
        <w:t>本年收入481.35万元，</w:t>
      </w:r>
      <w:r>
        <w:rPr>
          <w:rFonts w:ascii="仿宋_GB2312" w:hAnsi="仿宋_GB2312" w:eastAsia="仿宋_GB2312"/>
          <w:b w:val="0"/>
          <w:sz w:val="32"/>
        </w:rPr>
        <w:t>其中：财政拨款收入368.33万元，占76.52%；上级补助收入0.00万元，占0.00%；事业收入0.00万元，占0.00%；经营收入0.00万元，占0.00%；附属单位上缴收入0.00万元，占0.00%；其他收入113.03万元，占23.48%。</w:t>
      </w:r>
    </w:p>
    <w:p w14:paraId="03777C84">
      <w:pPr>
        <w:spacing w:line="640" w:lineRule="exact"/>
        <w:ind w:firstLine="640"/>
        <w:jc w:val="both"/>
        <w:outlineLvl w:val="2"/>
      </w:pPr>
      <w:r>
        <w:rPr>
          <w:rFonts w:ascii="黑体" w:hAnsi="黑体" w:eastAsia="黑体"/>
          <w:sz w:val="32"/>
        </w:rPr>
        <w:t>三、支出决算情况说明</w:t>
      </w:r>
    </w:p>
    <w:p w14:paraId="0DB5E326">
      <w:pPr>
        <w:spacing w:line="580" w:lineRule="exact"/>
        <w:ind w:firstLine="640"/>
        <w:jc w:val="both"/>
      </w:pPr>
      <w:r>
        <w:rPr>
          <w:rFonts w:ascii="仿宋_GB2312" w:hAnsi="仿宋_GB2312" w:eastAsia="仿宋_GB2312"/>
          <w:b/>
          <w:sz w:val="32"/>
        </w:rPr>
        <w:t>本年支出481.35万元，</w:t>
      </w:r>
      <w:r>
        <w:rPr>
          <w:rFonts w:ascii="仿宋_GB2312" w:hAnsi="仿宋_GB2312" w:eastAsia="仿宋_GB2312"/>
          <w:b w:val="0"/>
          <w:sz w:val="32"/>
        </w:rPr>
        <w:t>其中：基本支出368.24万元，占76.50%；项目支出113.11万元，占23.50%；上缴上级支出0.00万元，占0.00%；经营支出0.00万元，占0.00%；对附属单位补助支出0.00万元，占0.00%。</w:t>
      </w:r>
    </w:p>
    <w:p w14:paraId="1C8B1120">
      <w:pPr>
        <w:spacing w:line="640" w:lineRule="exact"/>
        <w:ind w:firstLine="640"/>
        <w:jc w:val="both"/>
        <w:outlineLvl w:val="2"/>
      </w:pPr>
      <w:r>
        <w:rPr>
          <w:rFonts w:ascii="黑体" w:hAnsi="黑体" w:eastAsia="黑体"/>
          <w:sz w:val="32"/>
        </w:rPr>
        <w:t>四、财政拨款收入支出决算总体情况说明</w:t>
      </w:r>
    </w:p>
    <w:p w14:paraId="43F149E7">
      <w:pPr>
        <w:spacing w:line="580" w:lineRule="exact"/>
        <w:ind w:firstLine="640"/>
        <w:jc w:val="both"/>
      </w:pPr>
      <w:r>
        <w:rPr>
          <w:rFonts w:ascii="仿宋_GB2312" w:hAnsi="仿宋_GB2312" w:eastAsia="仿宋_GB2312"/>
          <w:b/>
          <w:sz w:val="32"/>
        </w:rPr>
        <w:t>2024年度财政拨款收入总计368.33万元，</w:t>
      </w:r>
      <w:r>
        <w:rPr>
          <w:rFonts w:ascii="仿宋_GB2312" w:hAnsi="仿宋_GB2312" w:eastAsia="仿宋_GB2312"/>
          <w:b w:val="0"/>
          <w:sz w:val="32"/>
        </w:rPr>
        <w:t>其中：年初财政拨款结转和结余0.00万元，本年财政拨款收入368.33万元。</w:t>
      </w:r>
      <w:r>
        <w:rPr>
          <w:rFonts w:ascii="仿宋_GB2312" w:hAnsi="仿宋_GB2312" w:eastAsia="仿宋_GB2312"/>
          <w:b/>
          <w:sz w:val="32"/>
        </w:rPr>
        <w:t>财政拨款支出总计368.33万元，</w:t>
      </w:r>
      <w:r>
        <w:rPr>
          <w:rFonts w:ascii="仿宋_GB2312" w:hAnsi="仿宋_GB2312" w:eastAsia="仿宋_GB2312"/>
          <w:b w:val="0"/>
          <w:sz w:val="32"/>
        </w:rPr>
        <w:t>其中：年末财政拨款结转和结余0.00万元，本年财政拨款支出368.33万元。</w:t>
      </w:r>
    </w:p>
    <w:p w14:paraId="034D402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减少59.98万元，下降14.00%，主要原因是：本年机构改革，下半年临聘人员减少，相关人员经费减少，厉行节约，减少不必要的开支，资金较上年减少。</w:t>
      </w:r>
      <w:r>
        <w:rPr>
          <w:rFonts w:ascii="仿宋_GB2312" w:hAnsi="仿宋_GB2312" w:eastAsia="仿宋_GB2312"/>
          <w:b/>
          <w:sz w:val="32"/>
        </w:rPr>
        <w:t>与年初预算相比，</w:t>
      </w:r>
      <w:r>
        <w:rPr>
          <w:rFonts w:ascii="仿宋_GB2312" w:hAnsi="仿宋_GB2312" w:eastAsia="仿宋_GB2312"/>
          <w:b w:val="0"/>
          <w:sz w:val="32"/>
        </w:rPr>
        <w:t>年初预算数421.63万元，决算数368.33万元，预决算差异率-12.64%，主要原因是：本年机构改革，下半年临聘人员减少，年中调减人员经费及公用经费，导致预决算存在差异。</w:t>
      </w:r>
    </w:p>
    <w:p w14:paraId="0F95A99C">
      <w:pPr>
        <w:spacing w:line="640" w:lineRule="exact"/>
        <w:ind w:firstLine="640"/>
        <w:jc w:val="both"/>
        <w:outlineLvl w:val="2"/>
      </w:pPr>
      <w:r>
        <w:rPr>
          <w:rFonts w:ascii="黑体" w:hAnsi="黑体" w:eastAsia="黑体"/>
          <w:sz w:val="32"/>
        </w:rPr>
        <w:t>五、一般公共预算财政拨款支出决算情况说明</w:t>
      </w:r>
    </w:p>
    <w:p w14:paraId="238D98A9">
      <w:pPr>
        <w:spacing w:line="640" w:lineRule="exact"/>
        <w:ind w:firstLine="640"/>
        <w:jc w:val="both"/>
        <w:outlineLvl w:val="3"/>
      </w:pPr>
      <w:r>
        <w:rPr>
          <w:rFonts w:ascii="楷体_GB2312" w:hAnsi="楷体_GB2312" w:eastAsia="楷体_GB2312"/>
          <w:b/>
          <w:sz w:val="32"/>
        </w:rPr>
        <w:t>（一）一般公共预算财政拨款支出决算总体情况</w:t>
      </w:r>
    </w:p>
    <w:p w14:paraId="6681319B">
      <w:pPr>
        <w:spacing w:line="580" w:lineRule="exact"/>
        <w:ind w:firstLine="640"/>
        <w:jc w:val="both"/>
      </w:pPr>
      <w:r>
        <w:rPr>
          <w:rFonts w:ascii="仿宋_GB2312" w:hAnsi="仿宋_GB2312" w:eastAsia="仿宋_GB2312"/>
          <w:b/>
          <w:sz w:val="32"/>
        </w:rPr>
        <w:t>2024年度一般公共预算财政拨款支出368.33万元，</w:t>
      </w:r>
      <w:r>
        <w:rPr>
          <w:rFonts w:ascii="仿宋_GB2312" w:hAnsi="仿宋_GB2312" w:eastAsia="仿宋_GB2312"/>
          <w:b w:val="0"/>
          <w:sz w:val="32"/>
        </w:rPr>
        <w:t>占本年支出合计的76.52%。</w:t>
      </w:r>
      <w:r>
        <w:rPr>
          <w:rFonts w:ascii="仿宋_GB2312" w:hAnsi="仿宋_GB2312" w:eastAsia="仿宋_GB2312"/>
          <w:b/>
          <w:sz w:val="32"/>
        </w:rPr>
        <w:t>与上年相比，</w:t>
      </w:r>
      <w:r>
        <w:rPr>
          <w:rFonts w:ascii="仿宋_GB2312" w:hAnsi="仿宋_GB2312" w:eastAsia="仿宋_GB2312"/>
          <w:b w:val="0"/>
          <w:sz w:val="32"/>
        </w:rPr>
        <w:t>减少59.98万元，下降14.00%，主要原因是：本年机构改革，下半年临聘人员减少，相关人员经费减少，厉行节约，减少不必要的开支，资金较上年减少。</w:t>
      </w:r>
      <w:r>
        <w:rPr>
          <w:rFonts w:ascii="仿宋_GB2312" w:hAnsi="仿宋_GB2312" w:eastAsia="仿宋_GB2312"/>
          <w:b/>
          <w:sz w:val="32"/>
        </w:rPr>
        <w:t>与年初预算相比,</w:t>
      </w:r>
      <w:r>
        <w:rPr>
          <w:rFonts w:ascii="仿宋_GB2312" w:hAnsi="仿宋_GB2312" w:eastAsia="仿宋_GB2312"/>
          <w:b w:val="0"/>
          <w:sz w:val="32"/>
        </w:rPr>
        <w:t>年初预算数421.63万元，决算数368.33万元，预决算差异率-12.64%，主要原因是：本年机构改革，下半年临聘人员减少，年中调减人员经费及公用经费，导致预决算存在差异。</w:t>
      </w:r>
    </w:p>
    <w:p w14:paraId="1182CD26">
      <w:pPr>
        <w:spacing w:line="640" w:lineRule="exact"/>
        <w:ind w:firstLine="640"/>
        <w:jc w:val="both"/>
        <w:outlineLvl w:val="3"/>
      </w:pPr>
      <w:r>
        <w:rPr>
          <w:rFonts w:ascii="楷体_GB2312" w:hAnsi="楷体_GB2312" w:eastAsia="楷体_GB2312"/>
          <w:b/>
          <w:sz w:val="32"/>
        </w:rPr>
        <w:t>（二）一般公共预算财政拨款支出决算结构情况</w:t>
      </w:r>
    </w:p>
    <w:p w14:paraId="4546537F">
      <w:pPr>
        <w:spacing w:line="580" w:lineRule="exact"/>
        <w:ind w:firstLine="640"/>
        <w:jc w:val="both"/>
      </w:pPr>
      <w:r>
        <w:rPr>
          <w:rFonts w:ascii="仿宋_GB2312" w:hAnsi="仿宋_GB2312" w:eastAsia="仿宋_GB2312"/>
          <w:b w:val="0"/>
          <w:sz w:val="32"/>
        </w:rPr>
        <w:t>1.一般公共服务支出(类)318.53万元,占86.48%。</w:t>
      </w:r>
    </w:p>
    <w:p w14:paraId="36818CDA">
      <w:pPr>
        <w:spacing w:line="580" w:lineRule="exact"/>
        <w:ind w:firstLine="640"/>
        <w:jc w:val="both"/>
      </w:pPr>
      <w:r>
        <w:rPr>
          <w:rFonts w:ascii="仿宋_GB2312" w:hAnsi="仿宋_GB2312" w:eastAsia="仿宋_GB2312"/>
          <w:b w:val="0"/>
          <w:sz w:val="32"/>
        </w:rPr>
        <w:t>2.社会保障和就业支出(类)28.94万元,占7.86%。</w:t>
      </w:r>
    </w:p>
    <w:p w14:paraId="116BB32E">
      <w:pPr>
        <w:spacing w:line="580" w:lineRule="exact"/>
        <w:ind w:firstLine="640"/>
        <w:jc w:val="both"/>
      </w:pPr>
      <w:r>
        <w:rPr>
          <w:rFonts w:ascii="仿宋_GB2312" w:hAnsi="仿宋_GB2312" w:eastAsia="仿宋_GB2312"/>
          <w:b w:val="0"/>
          <w:sz w:val="32"/>
        </w:rPr>
        <w:t>3.卫生健康支出(类)9.71万元,占2.64%。</w:t>
      </w:r>
    </w:p>
    <w:p w14:paraId="37A96A79">
      <w:pPr>
        <w:spacing w:line="580" w:lineRule="exact"/>
        <w:ind w:firstLine="640"/>
        <w:jc w:val="both"/>
      </w:pPr>
      <w:r>
        <w:rPr>
          <w:rFonts w:ascii="仿宋_GB2312" w:hAnsi="仿宋_GB2312" w:eastAsia="仿宋_GB2312"/>
          <w:b w:val="0"/>
          <w:sz w:val="32"/>
        </w:rPr>
        <w:t>4.住房保障支出(类)11.15万元,占3.03%。</w:t>
      </w:r>
    </w:p>
    <w:p w14:paraId="3F8CBF78">
      <w:pPr>
        <w:spacing w:line="640" w:lineRule="exact"/>
        <w:ind w:firstLine="640"/>
        <w:jc w:val="both"/>
        <w:outlineLvl w:val="3"/>
      </w:pPr>
      <w:r>
        <w:rPr>
          <w:rFonts w:ascii="楷体_GB2312" w:hAnsi="楷体_GB2312" w:eastAsia="楷体_GB2312"/>
          <w:b/>
          <w:sz w:val="32"/>
        </w:rPr>
        <w:t>（三）一般公共预算财政拨款支出决算具体情况</w:t>
      </w:r>
    </w:p>
    <w:p w14:paraId="5AA5E821">
      <w:pPr>
        <w:spacing w:line="580" w:lineRule="exact"/>
        <w:ind w:firstLine="640"/>
        <w:jc w:val="both"/>
      </w:pPr>
      <w:r>
        <w:rPr>
          <w:rFonts w:ascii="仿宋_GB2312" w:hAnsi="仿宋_GB2312" w:eastAsia="仿宋_GB2312"/>
          <w:b w:val="0"/>
          <w:sz w:val="32"/>
        </w:rPr>
        <w:t>1.一般公共服务支出(类)政府办公厅（室）及相关机构事务(款)政务公开审批(项):支出决算数为318.44万元，比上年决算减少61.51万元，下降16.19%,主要原因是：本年机构改革，下半年临聘人员减少，相关人员经费减少，厉行节约，减少不必要的开支，资金较上年减少。</w:t>
      </w:r>
    </w:p>
    <w:p w14:paraId="76E4A945">
      <w:pPr>
        <w:spacing w:line="580" w:lineRule="exact"/>
        <w:ind w:firstLine="640"/>
        <w:jc w:val="both"/>
      </w:pPr>
      <w:r>
        <w:rPr>
          <w:rFonts w:ascii="仿宋_GB2312" w:hAnsi="仿宋_GB2312" w:eastAsia="仿宋_GB2312"/>
          <w:b w:val="0"/>
          <w:sz w:val="32"/>
        </w:rPr>
        <w:t>2.一般公共服务支出(类)政府办公厅（室）及相关机构事务(款)其他政府办公厅（室）及相关机构事务支出(项):支出决算数为0.09万元，比上年决算增加0.09万元，增长100.00%,主要原因是：增加便民利企经费。</w:t>
      </w:r>
    </w:p>
    <w:p w14:paraId="5BEDDF5A">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3.社会保障和就业支出(类)行政事业单位养老支出(款)事业单位离退休(项):支出决算数为0.73万元，比上年决算增加0.42万元，增长135.48%,主要原因是：本年增加退休人员基础绩效奖，退休费支出增加。</w:t>
      </w:r>
    </w:p>
    <w:p w14:paraId="6CA787A8">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17.29万元，比上年决算增加2.71万元，增长18.59%,主要原因是：本年在职人员工资基数调增，养老缴费基数上涨，相应支出增加。</w:t>
      </w:r>
    </w:p>
    <w:p w14:paraId="37F5E493">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10.92万元，比上年决算增加3.70万元，增长51.25%,主要原因是：本年在职人员工资基数调增，职业年金缴费支出增加。</w:t>
      </w:r>
    </w:p>
    <w:p w14:paraId="2D16C2F3">
      <w:pPr>
        <w:spacing w:line="580" w:lineRule="exact"/>
        <w:ind w:firstLine="640"/>
        <w:jc w:val="both"/>
      </w:pPr>
      <w:r>
        <w:rPr>
          <w:rFonts w:ascii="仿宋_GB2312" w:hAnsi="仿宋_GB2312" w:eastAsia="仿宋_GB2312"/>
          <w:b w:val="0"/>
          <w:sz w:val="32"/>
        </w:rPr>
        <w:t>6.卫生健康支出(类)行政事业单位医疗(款)事业单位医疗(项):支出决算数为9.24万元，比上年决算减少5.50万元，下降37.31%,主要原因是：本年在职人员减少，事业单位医疗支出较上年减少。</w:t>
      </w:r>
    </w:p>
    <w:p w14:paraId="1CC0A44D">
      <w:pPr>
        <w:spacing w:line="580" w:lineRule="exact"/>
        <w:ind w:firstLine="640"/>
        <w:jc w:val="both"/>
      </w:pPr>
      <w:r>
        <w:rPr>
          <w:rFonts w:ascii="仿宋_GB2312" w:hAnsi="仿宋_GB2312" w:eastAsia="仿宋_GB2312"/>
          <w:b w:val="0"/>
          <w:sz w:val="32"/>
        </w:rPr>
        <w:t>7.卫生健康支出(类)行政事业单位医疗(款)公务员医疗补助(项):支出决算数为0.47万元，比上年决算减少0.21万元，下降30.88%,主要原因是：本年在职人员减少，公务员医疗补助较上年减少。</w:t>
      </w:r>
    </w:p>
    <w:p w14:paraId="27FDF74C">
      <w:pPr>
        <w:spacing w:line="580" w:lineRule="exact"/>
        <w:ind w:firstLine="640"/>
        <w:jc w:val="both"/>
      </w:pPr>
      <w:r>
        <w:rPr>
          <w:rFonts w:ascii="仿宋_GB2312" w:hAnsi="仿宋_GB2312" w:eastAsia="仿宋_GB2312"/>
          <w:b w:val="0"/>
          <w:sz w:val="32"/>
        </w:rPr>
        <w:t>8.住房保障支出(类)住房改革支出(款)住房公积金(项):支出决算数为11.15万元，比上年决算增加0.32万元，增长2.95%,主要原因是：本年在职人员工资基数调增，公积金缴费基数上涨，相应支出增加。</w:t>
      </w:r>
    </w:p>
    <w:p w14:paraId="3599054A">
      <w:pPr>
        <w:spacing w:line="640" w:lineRule="exact"/>
        <w:ind w:firstLine="640"/>
        <w:jc w:val="both"/>
        <w:outlineLvl w:val="2"/>
      </w:pPr>
      <w:r>
        <w:rPr>
          <w:rFonts w:ascii="黑体" w:hAnsi="黑体" w:eastAsia="黑体"/>
          <w:sz w:val="32"/>
        </w:rPr>
        <w:t>六、一般公共预算财政拨款基本支出决算情况说明</w:t>
      </w:r>
    </w:p>
    <w:p w14:paraId="1C95B48A">
      <w:pPr>
        <w:spacing w:line="580" w:lineRule="exact"/>
        <w:ind w:firstLine="640"/>
        <w:jc w:val="both"/>
      </w:pPr>
      <w:r>
        <w:rPr>
          <w:rFonts w:ascii="仿宋_GB2312" w:hAnsi="仿宋_GB2312" w:eastAsia="仿宋_GB2312"/>
          <w:b w:val="0"/>
          <w:sz w:val="32"/>
        </w:rPr>
        <w:t>2024年度一般公共预算财政拨款基本支出368.24万元，其中：</w:t>
      </w:r>
      <w:r>
        <w:rPr>
          <w:rFonts w:ascii="仿宋_GB2312" w:hAnsi="仿宋_GB2312" w:eastAsia="仿宋_GB2312"/>
          <w:b/>
          <w:sz w:val="32"/>
        </w:rPr>
        <w:t>人员经费259.47万元，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60ED40EA">
      <w:pPr>
        <w:spacing w:line="580" w:lineRule="exact"/>
        <w:ind w:firstLine="640"/>
        <w:jc w:val="both"/>
      </w:pPr>
      <w:r>
        <w:rPr>
          <w:rFonts w:ascii="仿宋_GB2312" w:hAnsi="仿宋_GB2312" w:eastAsia="仿宋_GB2312"/>
          <w:b/>
          <w:sz w:val="32"/>
        </w:rPr>
        <w:t>公用经费108.76万元，</w:t>
      </w:r>
      <w:r>
        <w:rPr>
          <w:rFonts w:ascii="仿宋_GB2312" w:hAnsi="仿宋_GB2312" w:eastAsia="仿宋_GB2312"/>
          <w:b w:val="0"/>
          <w:sz w:val="32"/>
        </w:rPr>
        <w:t>包括：办公费、印刷费、手续费、水费、电费、邮电费、取暖费、差旅费、维修（护）费、租赁费、劳务费、工会经费、公务用车运行维护费、其他商品和服务支出。</w:t>
      </w:r>
    </w:p>
    <w:p w14:paraId="1D146AA9">
      <w:pPr>
        <w:spacing w:line="640" w:lineRule="exact"/>
        <w:ind w:firstLine="640"/>
        <w:jc w:val="both"/>
        <w:outlineLvl w:val="2"/>
      </w:pPr>
      <w:r>
        <w:rPr>
          <w:rFonts w:ascii="黑体" w:hAnsi="黑体" w:eastAsia="黑体"/>
          <w:sz w:val="32"/>
        </w:rPr>
        <w:t>七、政府性基金预算财政拨款收入支出决算情况说明</w:t>
      </w:r>
    </w:p>
    <w:p w14:paraId="584CE80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258F66B">
      <w:pPr>
        <w:spacing w:line="640" w:lineRule="exact"/>
        <w:ind w:firstLine="640"/>
        <w:jc w:val="both"/>
        <w:outlineLvl w:val="2"/>
      </w:pPr>
      <w:r>
        <w:rPr>
          <w:rFonts w:ascii="黑体" w:hAnsi="黑体" w:eastAsia="黑体"/>
          <w:sz w:val="32"/>
        </w:rPr>
        <w:t>八、国有资本经营预算财政拨款收入支出决算情况说明</w:t>
      </w:r>
    </w:p>
    <w:p w14:paraId="199C2B5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D179D18">
      <w:pPr>
        <w:spacing w:line="640" w:lineRule="exact"/>
        <w:ind w:firstLine="640"/>
        <w:jc w:val="both"/>
        <w:outlineLvl w:val="2"/>
      </w:pPr>
      <w:r>
        <w:rPr>
          <w:rFonts w:ascii="黑体" w:hAnsi="黑体" w:eastAsia="黑体"/>
          <w:sz w:val="32"/>
        </w:rPr>
        <w:t>九、财政拨款“三公”经费支出决算情况说明</w:t>
      </w:r>
    </w:p>
    <w:p w14:paraId="2F0BB3C3">
      <w:pPr>
        <w:spacing w:line="580" w:lineRule="exact"/>
        <w:ind w:firstLine="640"/>
        <w:jc w:val="both"/>
      </w:pPr>
      <w:r>
        <w:rPr>
          <w:rFonts w:ascii="仿宋_GB2312" w:hAnsi="仿宋_GB2312" w:eastAsia="仿宋_GB2312"/>
          <w:b/>
          <w:sz w:val="32"/>
        </w:rPr>
        <w:t>2024年度财政拨款“三公”经费支出1.33万元，</w:t>
      </w:r>
      <w:r>
        <w:rPr>
          <w:rFonts w:ascii="仿宋_GB2312" w:hAnsi="仿宋_GB2312" w:eastAsia="仿宋_GB2312"/>
          <w:b w:val="0"/>
          <w:sz w:val="32"/>
        </w:rPr>
        <w:t>比上年减少0.01万元，下降0.75%，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1.33万元，占100.00%，比上年减少0.01万元，下降0.75%，主要原因是：严格落实中央八项规定精神，厉行节约，减少公务用车运行维护费。公务接待费支出0.00万元，占0.00%，比上年增加0.00万元，增长0.00%，主要原因是：2023年与2024年均未安排公务接待费支出。</w:t>
      </w:r>
    </w:p>
    <w:p w14:paraId="70A3029B">
      <w:pPr>
        <w:spacing w:line="580" w:lineRule="exact"/>
        <w:ind w:firstLine="640"/>
        <w:jc w:val="both"/>
      </w:pPr>
      <w:r>
        <w:rPr>
          <w:rFonts w:ascii="仿宋_GB2312" w:hAnsi="仿宋_GB2312" w:eastAsia="仿宋_GB2312"/>
          <w:b/>
          <w:sz w:val="32"/>
        </w:rPr>
        <w:t>具体情况如下：</w:t>
      </w:r>
    </w:p>
    <w:p w14:paraId="6932692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46C825E9">
      <w:pPr>
        <w:spacing w:line="580" w:lineRule="exact"/>
        <w:ind w:firstLine="640"/>
        <w:jc w:val="both"/>
      </w:pPr>
      <w:r>
        <w:rPr>
          <w:rFonts w:ascii="仿宋_GB2312" w:hAnsi="仿宋_GB2312" w:eastAsia="仿宋_GB2312"/>
          <w:b w:val="0"/>
          <w:sz w:val="32"/>
        </w:rPr>
        <w:t>公务用车购置及运行维护费1.33万元，其中：公务用车购置费0.00万元，公务用车运行维护费1.33万元。公务用车运行维护费开支内容包括车辆加油费、维修费、保险费、审车费、过路费等。公务用车购置数0辆，公务用车保有量1辆。国有资产占用情况中固定资产车辆1辆，与公务用车保有量差异原因是：本单位固定资产车辆与公务用车保有量一致无差异。</w:t>
      </w:r>
    </w:p>
    <w:p w14:paraId="16926B1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7FFB71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1.33万元，决算数1.33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1.33万元，决算数1.33万元，预决算差异率0.00%，主要原因是：严格按照预算执行，预决算无差异。公务接待费全年预算数0.00万元，决算数0.00万元，预决算差异率0.00%，主要原因是：本单位无公务接待费。</w:t>
      </w:r>
    </w:p>
    <w:p w14:paraId="2AF3E43D">
      <w:pPr>
        <w:spacing w:line="640" w:lineRule="exact"/>
        <w:ind w:firstLine="640"/>
        <w:jc w:val="both"/>
        <w:outlineLvl w:val="2"/>
      </w:pPr>
      <w:r>
        <w:rPr>
          <w:rFonts w:ascii="黑体" w:hAnsi="黑体" w:eastAsia="黑体"/>
          <w:sz w:val="32"/>
        </w:rPr>
        <w:t>十、其他重要事项的情况说明</w:t>
      </w:r>
    </w:p>
    <w:p w14:paraId="4A197CE4">
      <w:pPr>
        <w:spacing w:line="640" w:lineRule="exact"/>
        <w:ind w:firstLine="640"/>
        <w:jc w:val="both"/>
        <w:outlineLvl w:val="3"/>
      </w:pPr>
      <w:r>
        <w:rPr>
          <w:rFonts w:ascii="楷体_GB2312" w:hAnsi="楷体_GB2312" w:eastAsia="楷体_GB2312"/>
          <w:b/>
          <w:sz w:val="32"/>
        </w:rPr>
        <w:t>（一）机关运行经费及公用经费支出情况</w:t>
      </w:r>
    </w:p>
    <w:p w14:paraId="44D01CF3">
      <w:pPr>
        <w:spacing w:line="580" w:lineRule="exact"/>
        <w:ind w:firstLine="640"/>
        <w:jc w:val="both"/>
        <w:rPr>
          <w:spacing w:val="-6"/>
          <w:sz w:val="32"/>
        </w:rPr>
      </w:pPr>
      <w:r>
        <w:rPr>
          <w:rFonts w:ascii="仿宋_GB2312" w:hAnsi="仿宋_GB2312" w:eastAsia="仿宋_GB2312"/>
          <w:b w:val="0"/>
          <w:spacing w:val="-6"/>
          <w:sz w:val="32"/>
        </w:rPr>
        <w:t>2024年度吉木萨尔县政务服务和公共资源交易管理局（事业单位）公用经费支出108.76万元，比上年减少4.30万元，下降3.80%，主要原因是：严控经费支出，厉行节约，减少经费支出。</w:t>
      </w:r>
    </w:p>
    <w:p w14:paraId="002B44AB">
      <w:pPr>
        <w:spacing w:line="640" w:lineRule="exact"/>
        <w:ind w:firstLine="640"/>
        <w:jc w:val="both"/>
        <w:outlineLvl w:val="3"/>
      </w:pPr>
      <w:r>
        <w:rPr>
          <w:rFonts w:ascii="楷体_GB2312" w:hAnsi="楷体_GB2312" w:eastAsia="楷体_GB2312"/>
          <w:b/>
          <w:sz w:val="32"/>
        </w:rPr>
        <w:t>（二）政府采购情况</w:t>
      </w:r>
    </w:p>
    <w:p w14:paraId="6D7C35C2">
      <w:pPr>
        <w:spacing w:line="580" w:lineRule="exact"/>
        <w:ind w:firstLine="640"/>
        <w:jc w:val="both"/>
      </w:pPr>
      <w:r>
        <w:rPr>
          <w:rFonts w:ascii="仿宋_GB2312" w:hAnsi="仿宋_GB2312" w:eastAsia="仿宋_GB2312"/>
          <w:b w:val="0"/>
          <w:sz w:val="32"/>
        </w:rPr>
        <w:t>2024年度政府采购支出总额5.70万元，其中：政府采购货物支出3.69万元、政府采购工程支出0.00万元、政府采购服务支出2.02万元。</w:t>
      </w:r>
    </w:p>
    <w:p w14:paraId="6016186E">
      <w:pPr>
        <w:spacing w:line="580" w:lineRule="exact"/>
        <w:ind w:firstLine="640"/>
        <w:jc w:val="both"/>
      </w:pPr>
      <w:r>
        <w:rPr>
          <w:rFonts w:ascii="仿宋_GB2312" w:hAnsi="仿宋_GB2312" w:eastAsia="仿宋_GB2312"/>
          <w:b w:val="0"/>
          <w:sz w:val="32"/>
        </w:rPr>
        <w:t>授予中小企业合同金额3.21万元，占政府采购支出总额的56.32%，其中：授予小微企业合同金额3.21万元，占政府采购支出总额的56.32%。</w:t>
      </w:r>
    </w:p>
    <w:p w14:paraId="47CFB64F">
      <w:pPr>
        <w:spacing w:line="640" w:lineRule="exact"/>
        <w:ind w:firstLine="640"/>
        <w:jc w:val="both"/>
        <w:outlineLvl w:val="3"/>
      </w:pPr>
      <w:r>
        <w:rPr>
          <w:rFonts w:ascii="楷体_GB2312" w:hAnsi="楷体_GB2312" w:eastAsia="楷体_GB2312"/>
          <w:b/>
          <w:sz w:val="32"/>
        </w:rPr>
        <w:t>（三）国有资产占用情况说明</w:t>
      </w:r>
    </w:p>
    <w:p w14:paraId="6461CA5D">
      <w:pPr>
        <w:spacing w:line="580" w:lineRule="exact"/>
        <w:ind w:firstLine="640"/>
        <w:jc w:val="both"/>
      </w:pPr>
      <w:r>
        <w:rPr>
          <w:rFonts w:ascii="仿宋_GB2312" w:hAnsi="仿宋_GB2312" w:eastAsia="仿宋_GB2312"/>
          <w:b w:val="0"/>
          <w:sz w:val="32"/>
        </w:rPr>
        <w:t>截至2024年12月31日，房屋50.00平方米，价值9.76万元。车辆1辆，价值17.98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58B732C2">
      <w:pPr>
        <w:spacing w:line="640" w:lineRule="exact"/>
        <w:ind w:firstLine="640"/>
        <w:jc w:val="both"/>
        <w:outlineLvl w:val="2"/>
      </w:pPr>
      <w:r>
        <w:rPr>
          <w:rFonts w:ascii="黑体" w:hAnsi="黑体" w:eastAsia="黑体"/>
          <w:sz w:val="32"/>
        </w:rPr>
        <w:t>十一、预算绩效的情况说明</w:t>
      </w:r>
    </w:p>
    <w:p w14:paraId="38F2E0A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503.70万元，实际执行总额481.36万元；预算绩效评价项目0个，全年预算数0.00万元，全年执行数0.00万元。预算绩效管理取得的成效：一是本单位以绩效目标实现为导向，加强制度建设，提升预算执行质量，预算绩效管理取得一定成效。预算绩效管理</w:t>
      </w:r>
      <w:r>
        <w:rPr>
          <w:rFonts w:hint="eastAsia" w:ascii="仿宋_GB2312" w:hAnsi="仿宋_GB2312" w:eastAsia="仿宋_GB2312"/>
          <w:b w:val="0"/>
          <w:sz w:val="32"/>
          <w:lang w:eastAsia="zh-CN"/>
        </w:rPr>
        <w:t>取得</w:t>
      </w:r>
      <w:r>
        <w:rPr>
          <w:rFonts w:ascii="仿宋_GB2312" w:hAnsi="仿宋_GB2312" w:eastAsia="仿宋_GB2312"/>
          <w:b w:val="0"/>
          <w:sz w:val="32"/>
        </w:rPr>
        <w:t>成效，科学制定目标，促进绩效目标顺利实现。二是自落实预算绩效管理工作以来，本单位在项目资金的使用</w:t>
      </w:r>
      <w:r>
        <w:rPr>
          <w:rFonts w:hint="eastAsia" w:ascii="仿宋_GB2312" w:hAnsi="仿宋_GB2312" w:eastAsia="仿宋_GB2312"/>
          <w:b w:val="0"/>
          <w:sz w:val="32"/>
          <w:lang w:eastAsia="zh-CN"/>
        </w:rPr>
        <w:t>上</w:t>
      </w:r>
      <w:r>
        <w:rPr>
          <w:rFonts w:ascii="仿宋_GB2312" w:hAnsi="仿宋_GB2312" w:eastAsia="仿宋_GB2312"/>
          <w:b w:val="0"/>
          <w:sz w:val="32"/>
        </w:rPr>
        <w:t>有了</w:t>
      </w:r>
      <w:r>
        <w:rPr>
          <w:rFonts w:hint="eastAsia" w:ascii="仿宋_GB2312" w:hAnsi="仿宋_GB2312" w:eastAsia="仿宋_GB2312"/>
          <w:b w:val="0"/>
          <w:sz w:val="32"/>
          <w:lang w:eastAsia="zh-CN"/>
        </w:rPr>
        <w:t>更加</w:t>
      </w:r>
      <w:r>
        <w:rPr>
          <w:rFonts w:ascii="仿宋_GB2312" w:hAnsi="仿宋_GB2312" w:eastAsia="仿宋_GB2312"/>
          <w:b w:val="0"/>
          <w:sz w:val="32"/>
        </w:rPr>
        <w:t>明确、</w:t>
      </w:r>
      <w:r>
        <w:rPr>
          <w:rFonts w:hint="eastAsia" w:ascii="仿宋_GB2312" w:hAnsi="仿宋_GB2312" w:eastAsia="仿宋_GB2312"/>
          <w:b w:val="0"/>
          <w:sz w:val="32"/>
          <w:lang w:eastAsia="zh-CN"/>
        </w:rPr>
        <w:t>更加</w:t>
      </w:r>
      <w:r>
        <w:rPr>
          <w:rFonts w:ascii="仿宋_GB2312" w:hAnsi="仿宋_GB2312" w:eastAsia="仿宋_GB2312"/>
          <w:b w:val="0"/>
          <w:sz w:val="32"/>
        </w:rPr>
        <w:t>清晰</w:t>
      </w:r>
      <w:r>
        <w:rPr>
          <w:rFonts w:hint="eastAsia" w:ascii="仿宋_GB2312" w:hAnsi="仿宋_GB2312" w:eastAsia="仿宋_GB2312"/>
          <w:b w:val="0"/>
          <w:sz w:val="32"/>
          <w:lang w:eastAsia="zh-CN"/>
        </w:rPr>
        <w:t>地</w:t>
      </w:r>
      <w:r>
        <w:rPr>
          <w:rFonts w:ascii="仿宋_GB2312" w:hAnsi="仿宋_GB2312" w:eastAsia="仿宋_GB2312"/>
          <w:b w:val="0"/>
          <w:sz w:val="32"/>
        </w:rPr>
        <w:t>理解和认识。通过实施预算绩效管理，树立了绩效优先的管理理念，也很好</w:t>
      </w:r>
      <w:r>
        <w:rPr>
          <w:rFonts w:hint="eastAsia" w:ascii="仿宋_GB2312" w:hAnsi="仿宋_GB2312" w:eastAsia="仿宋_GB2312"/>
          <w:b w:val="0"/>
          <w:sz w:val="32"/>
          <w:lang w:eastAsia="zh-CN"/>
        </w:rPr>
        <w:t>地</w:t>
      </w:r>
      <w:r>
        <w:rPr>
          <w:rFonts w:ascii="仿宋_GB2312" w:hAnsi="仿宋_GB2312" w:eastAsia="仿宋_GB2312"/>
          <w:b w:val="0"/>
          <w:sz w:val="32"/>
        </w:rPr>
        <w:t>避免了在经费使用上出现违规行为的</w:t>
      </w:r>
      <w:r>
        <w:rPr>
          <w:rFonts w:hint="eastAsia" w:ascii="仿宋_GB2312" w:hAnsi="仿宋_GB2312" w:eastAsia="仿宋_GB2312"/>
          <w:b w:val="0"/>
          <w:sz w:val="32"/>
          <w:lang w:eastAsia="zh-CN"/>
        </w:rPr>
        <w:t>概率</w:t>
      </w:r>
      <w:r>
        <w:rPr>
          <w:rFonts w:ascii="仿宋_GB2312" w:hAnsi="仿宋_GB2312" w:eastAsia="仿宋_GB2312"/>
          <w:b w:val="0"/>
          <w:sz w:val="32"/>
        </w:rPr>
        <w:t>，提升了部门管理水平和资金使用效益，为全面实施绩效管理打下了坚实的基础。发现的问题及原因：</w:t>
      </w:r>
      <w:r>
        <w:rPr>
          <w:rFonts w:hint="eastAsia" w:ascii="仿宋_GB2312" w:hAnsi="仿宋_GB2312" w:eastAsia="仿宋_GB2312"/>
          <w:b w:val="0"/>
          <w:sz w:val="32"/>
          <w:lang w:val="en-US" w:eastAsia="zh-CN"/>
        </w:rPr>
        <w:t>一是</w:t>
      </w:r>
      <w:r>
        <w:rPr>
          <w:rFonts w:ascii="仿宋_GB2312" w:hAnsi="仿宋_GB2312" w:eastAsia="仿宋_GB2312"/>
          <w:b w:val="0"/>
          <w:sz w:val="32"/>
        </w:rPr>
        <w:t>预算编制工作有待细化。预算编制不够明确和细化,预算编制的合理性需要提高。预算执行力度还要进一步加强。</w:t>
      </w:r>
      <w:r>
        <w:rPr>
          <w:rFonts w:hint="eastAsia" w:ascii="仿宋_GB2312" w:hAnsi="仿宋_GB2312" w:eastAsia="仿宋_GB2312"/>
          <w:b w:val="0"/>
          <w:sz w:val="32"/>
          <w:lang w:val="en-US" w:eastAsia="zh-CN"/>
        </w:rPr>
        <w:t>二是</w:t>
      </w:r>
      <w:r>
        <w:rPr>
          <w:rFonts w:ascii="仿宋_GB2312" w:hAnsi="仿宋_GB2312" w:eastAsia="仿宋_GB2312"/>
          <w:b w:val="0"/>
          <w:sz w:val="32"/>
        </w:rPr>
        <w:t>单位管理制度仍有漏洞，还需继续完善,对财务制度执行力有待加强，资金使用流程有待细化。下一步改进措施：针对出现的问题,</w:t>
      </w:r>
      <w:r>
        <w:rPr>
          <w:rFonts w:hint="eastAsia" w:ascii="仿宋_GB2312" w:hAnsi="仿宋_GB2312" w:eastAsia="仿宋_GB2312"/>
          <w:b w:val="0"/>
          <w:sz w:val="32"/>
          <w:lang w:eastAsia="zh-CN"/>
        </w:rPr>
        <w:t>本单位</w:t>
      </w:r>
      <w:r>
        <w:rPr>
          <w:rFonts w:ascii="仿宋_GB2312" w:hAnsi="仿宋_GB2312" w:eastAsia="仿宋_GB2312"/>
          <w:b w:val="0"/>
          <w:sz w:val="32"/>
        </w:rPr>
        <w:t>将加强各项工作力度</w:t>
      </w:r>
      <w:r>
        <w:rPr>
          <w:rFonts w:hint="eastAsia" w:ascii="仿宋_GB2312" w:hAnsi="仿宋_GB2312" w:eastAsia="仿宋_GB2312"/>
          <w:b w:val="0"/>
          <w:sz w:val="32"/>
          <w:lang w:eastAsia="zh-CN"/>
        </w:rPr>
        <w:t>，在</w:t>
      </w:r>
      <w:r>
        <w:rPr>
          <w:rFonts w:ascii="仿宋_GB2312" w:hAnsi="仿宋_GB2312" w:eastAsia="仿宋_GB2312"/>
          <w:b w:val="0"/>
          <w:sz w:val="32"/>
        </w:rPr>
        <w:t>做好业务培训和实操沟通的同时，继续加强建立经费责任机制，完善单位管理制度，并严格执行《中华人民共和国预算法》《财政违法行为处罚处分条例》等国家有关法律规定。具体附整体支出绩效自评表。</w:t>
      </w:r>
    </w:p>
    <w:p w14:paraId="2E88580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4E70456">
        <w:tblPrEx>
          <w:tblCellMar>
            <w:top w:w="0" w:type="dxa"/>
            <w:left w:w="108" w:type="dxa"/>
            <w:bottom w:w="0" w:type="dxa"/>
            <w:right w:w="108" w:type="dxa"/>
          </w:tblCellMar>
        </w:tblPrEx>
        <w:tc>
          <w:tcPr>
            <w:tcW w:w="8847" w:type="dxa"/>
            <w:gridSpan w:val="9"/>
            <w:vAlign w:val="center"/>
          </w:tcPr>
          <w:p w14:paraId="36338FDB">
            <w:pPr>
              <w:jc w:val="center"/>
            </w:pPr>
            <w:r>
              <w:rPr>
                <w:rFonts w:ascii="宋体" w:hAnsi="宋体" w:eastAsia="宋体"/>
                <w:sz w:val="24"/>
              </w:rPr>
              <w:t>单位整体支出绩效自评表</w:t>
            </w:r>
          </w:p>
        </w:tc>
      </w:tr>
      <w:tr w14:paraId="30A1E51E">
        <w:tblPrEx>
          <w:tblCellMar>
            <w:top w:w="0" w:type="dxa"/>
            <w:left w:w="108" w:type="dxa"/>
            <w:bottom w:w="0" w:type="dxa"/>
            <w:right w:w="108" w:type="dxa"/>
          </w:tblCellMar>
        </w:tblPrEx>
        <w:tc>
          <w:tcPr>
            <w:tcW w:w="8847" w:type="dxa"/>
            <w:gridSpan w:val="9"/>
            <w:vAlign w:val="center"/>
          </w:tcPr>
          <w:p w14:paraId="7A634EE2">
            <w:pPr>
              <w:jc w:val="center"/>
            </w:pPr>
            <w:r>
              <w:rPr>
                <w:rFonts w:ascii="宋体" w:hAnsi="宋体" w:eastAsia="宋体"/>
                <w:sz w:val="24"/>
              </w:rPr>
              <w:t>（2024年度）</w:t>
            </w:r>
          </w:p>
        </w:tc>
      </w:tr>
      <w:tr w14:paraId="76AA686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1CE1C">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6C4E836">
            <w:pPr>
              <w:jc w:val="center"/>
            </w:pPr>
            <w:r>
              <w:rPr>
                <w:rFonts w:ascii="宋体" w:hAnsi="宋体" w:eastAsia="宋体"/>
                <w:sz w:val="16"/>
              </w:rPr>
              <w:t>吉木萨尔县政务服务和公共资源交易管理局</w:t>
            </w:r>
          </w:p>
        </w:tc>
      </w:tr>
      <w:tr w14:paraId="76DB75F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93AB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C9D4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C95FB">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64B5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7D90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3E59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E2DB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3DE81">
            <w:pPr>
              <w:jc w:val="center"/>
            </w:pPr>
            <w:r>
              <w:rPr>
                <w:rFonts w:ascii="宋体" w:hAnsi="宋体" w:eastAsia="宋体"/>
                <w:sz w:val="16"/>
              </w:rPr>
              <w:t>得分</w:t>
            </w:r>
          </w:p>
        </w:tc>
      </w:tr>
      <w:tr w14:paraId="0E056D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9BC1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0C2D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9A2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681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886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B191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272C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F07A2">
            <w:pPr>
              <w:jc w:val="center"/>
            </w:pPr>
            <w:r>
              <w:rPr>
                <w:rFonts w:ascii="宋体" w:hAnsi="宋体" w:eastAsia="宋体"/>
                <w:sz w:val="16"/>
              </w:rPr>
              <w:t>-</w:t>
            </w:r>
          </w:p>
        </w:tc>
      </w:tr>
      <w:tr w14:paraId="7E24DB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ADE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9992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F9D05">
            <w:pPr>
              <w:jc w:val="center"/>
            </w:pPr>
            <w:r>
              <w:rPr>
                <w:rFonts w:ascii="宋体" w:hAnsi="宋体" w:eastAsia="宋体"/>
                <w:sz w:val="16"/>
              </w:rPr>
              <w:t>421.63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DBCD5">
            <w:pPr>
              <w:jc w:val="center"/>
            </w:pPr>
            <w:r>
              <w:rPr>
                <w:rFonts w:ascii="宋体" w:hAnsi="宋体" w:eastAsia="宋体"/>
                <w:sz w:val="16"/>
              </w:rPr>
              <w:t>503.70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45AFD">
            <w:pPr>
              <w:jc w:val="center"/>
            </w:pPr>
            <w:r>
              <w:rPr>
                <w:rFonts w:ascii="宋体" w:hAnsi="宋体" w:eastAsia="宋体"/>
                <w:sz w:val="16"/>
              </w:rPr>
              <w:t>481.36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760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927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9A471">
            <w:pPr>
              <w:jc w:val="center"/>
            </w:pPr>
            <w:r>
              <w:rPr>
                <w:rFonts w:ascii="宋体" w:hAnsi="宋体" w:eastAsia="宋体"/>
                <w:sz w:val="16"/>
              </w:rPr>
              <w:t>-</w:t>
            </w:r>
          </w:p>
        </w:tc>
      </w:tr>
      <w:tr w14:paraId="07EFA7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819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B516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D36FC">
            <w:pPr>
              <w:jc w:val="center"/>
            </w:pPr>
            <w:r>
              <w:rPr>
                <w:rFonts w:ascii="宋体" w:hAnsi="宋体" w:eastAsia="宋体"/>
                <w:sz w:val="16"/>
              </w:rPr>
              <w:t>88.27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5C64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43050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E51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A41E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24B2C">
            <w:pPr>
              <w:jc w:val="center"/>
            </w:pPr>
            <w:r>
              <w:rPr>
                <w:rFonts w:ascii="宋体" w:hAnsi="宋体" w:eastAsia="宋体"/>
                <w:sz w:val="16"/>
              </w:rPr>
              <w:t>-</w:t>
            </w:r>
          </w:p>
        </w:tc>
      </w:tr>
      <w:tr w14:paraId="56E89A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0046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3130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0A6A60">
            <w:pPr>
              <w:jc w:val="center"/>
            </w:pPr>
            <w:r>
              <w:rPr>
                <w:rFonts w:ascii="宋体" w:hAnsi="宋体" w:eastAsia="宋体"/>
                <w:sz w:val="16"/>
              </w:rPr>
              <w:t>509.90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8CCD5">
            <w:pPr>
              <w:jc w:val="center"/>
            </w:pPr>
            <w:r>
              <w:rPr>
                <w:rFonts w:ascii="宋体" w:hAnsi="宋体" w:eastAsia="宋体"/>
                <w:sz w:val="16"/>
              </w:rPr>
              <w:t>503.70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CC49D">
            <w:pPr>
              <w:jc w:val="center"/>
            </w:pPr>
            <w:r>
              <w:rPr>
                <w:rFonts w:ascii="宋体" w:hAnsi="宋体" w:eastAsia="宋体"/>
                <w:sz w:val="16"/>
              </w:rPr>
              <w:t>481.36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39ED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9A0B9">
            <w:pPr>
              <w:jc w:val="center"/>
            </w:pPr>
            <w:r>
              <w:rPr>
                <w:rFonts w:ascii="宋体" w:hAnsi="宋体" w:eastAsia="宋体"/>
                <w:sz w:val="16"/>
              </w:rPr>
              <w:t>95.56%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F8E87">
            <w:pPr>
              <w:jc w:val="center"/>
            </w:pPr>
            <w:r>
              <w:rPr>
                <w:rFonts w:ascii="宋体" w:hAnsi="宋体" w:eastAsia="宋体"/>
                <w:sz w:val="16"/>
              </w:rPr>
              <w:t>9.56</w:t>
            </w:r>
          </w:p>
        </w:tc>
      </w:tr>
      <w:tr w14:paraId="20678B2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E4F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9A70C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196753">
            <w:pPr>
              <w:jc w:val="center"/>
            </w:pPr>
            <w:r>
              <w:rPr>
                <w:rFonts w:ascii="宋体" w:hAnsi="宋体" w:eastAsia="宋体"/>
                <w:sz w:val="16"/>
              </w:rPr>
              <w:t>实际完成情况</w:t>
            </w:r>
          </w:p>
        </w:tc>
      </w:tr>
      <w:tr w14:paraId="74840AF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C8DC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7B7845">
            <w:pPr>
              <w:jc w:val="both"/>
            </w:pPr>
            <w:r>
              <w:rPr>
                <w:rFonts w:ascii="宋体" w:hAnsi="宋体" w:eastAsia="宋体"/>
                <w:sz w:val="16"/>
              </w:rPr>
              <w:t>实行一站式办公，一条龙服务打造服务最优和最佳环境对政务服务大厅进驻部门行政许可和面向公众服务工作进行协调管理。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A72AC1">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全年预算数为503.70万元，全年执行数为481.36万元,预算执行率为95.56%，</w:t>
            </w:r>
            <w:r>
              <w:rPr>
                <w:rFonts w:hint="eastAsia" w:ascii="宋体" w:hAnsi="宋体"/>
                <w:sz w:val="16"/>
                <w:lang w:eastAsia="zh-CN"/>
              </w:rPr>
              <w:t>本单位</w:t>
            </w:r>
            <w:r>
              <w:rPr>
                <w:rFonts w:ascii="宋体" w:hAnsi="宋体" w:eastAsia="宋体"/>
                <w:sz w:val="16"/>
              </w:rPr>
              <w:t>主要完成以下内容：以党的二十届三中全会精神为思想指导，深入贯彻习近平总书记考察新疆时的重要讲话、重要指示精神，落实区、州、县党委全会精神，紧紧围绕社会稳定和长治久安总目标，将持续推行党员带头实施“一窗式受理、一站式办公、全程式代理”等便民服务，切实为群众排忧解难。做到窗口党员尽职尽责更“用心”、优质服务更“暖心”、优化环境更“安心”、主动服务更“贴心”、帮办服务更“省心”、便捷办事更“精心”，持续深化“六心政务服务”党建品牌建设，党建工作引领政务服务工作高质量发展。</w:t>
            </w:r>
          </w:p>
        </w:tc>
      </w:tr>
      <w:tr w14:paraId="7F80CC6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1720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D5C47">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A0D6">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C7D477">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09EA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952A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BC01C">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3DDFEC">
            <w:pPr>
              <w:jc w:val="center"/>
            </w:pPr>
            <w:r>
              <w:rPr>
                <w:rFonts w:ascii="宋体" w:hAnsi="宋体" w:eastAsia="宋体"/>
                <w:sz w:val="16"/>
              </w:rPr>
              <w:t>得分</w:t>
            </w:r>
          </w:p>
        </w:tc>
      </w:tr>
      <w:tr w14:paraId="11DCFF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D8D3E">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2BBA8">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F5C49">
            <w:pPr>
              <w:jc w:val="center"/>
            </w:pPr>
            <w:r>
              <w:rPr>
                <w:rFonts w:ascii="宋体" w:hAnsi="宋体" w:eastAsia="宋体"/>
                <w:sz w:val="16"/>
              </w:rPr>
              <w:t>政务服务中心在职在编人员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24DE2">
            <w:pPr>
              <w:jc w:val="center"/>
            </w:pPr>
            <w:r>
              <w:rPr>
                <w:rFonts w:ascii="宋体" w:hAnsi="宋体" w:eastAsia="宋体"/>
                <w:sz w:val="16"/>
              </w:rPr>
              <w:t>&gt;=10人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C90E7">
            <w:pPr>
              <w:jc w:val="center"/>
            </w:pPr>
            <w:r>
              <w:rPr>
                <w:rFonts w:ascii="宋体" w:hAnsi="宋体" w:eastAsia="宋体"/>
                <w:sz w:val="16"/>
              </w:rPr>
              <w:t>政务服务和公共资源交易管理局2023年度决算报表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E6B6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51560">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B4237">
            <w:pPr>
              <w:jc w:val="center"/>
            </w:pPr>
            <w:r>
              <w:rPr>
                <w:rFonts w:ascii="宋体" w:hAnsi="宋体" w:eastAsia="宋体"/>
                <w:sz w:val="16"/>
              </w:rPr>
              <w:t>7.2</w:t>
            </w:r>
          </w:p>
        </w:tc>
      </w:tr>
      <w:tr w14:paraId="01849B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E780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A3F4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522BA">
            <w:pPr>
              <w:jc w:val="center"/>
            </w:pPr>
            <w:r>
              <w:rPr>
                <w:rFonts w:ascii="宋体" w:hAnsi="宋体" w:eastAsia="宋体"/>
                <w:sz w:val="16"/>
              </w:rPr>
              <w:t>政府购买岗人数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64444">
            <w:pPr>
              <w:jc w:val="center"/>
            </w:pPr>
            <w:r>
              <w:rPr>
                <w:rFonts w:ascii="宋体" w:hAnsi="宋体" w:eastAsia="宋体"/>
                <w:sz w:val="16"/>
              </w:rPr>
              <w:t>&gt;=15人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2D2E7">
            <w:pPr>
              <w:jc w:val="center"/>
            </w:pPr>
            <w:r>
              <w:rPr>
                <w:rFonts w:ascii="宋体" w:hAnsi="宋体" w:eastAsia="宋体"/>
                <w:sz w:val="16"/>
              </w:rPr>
              <w:t>政务服务和公共资源交易管理局2023年度决算报表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C3677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405E9">
            <w:pPr>
              <w:jc w:val="center"/>
            </w:pPr>
            <w:r>
              <w:rPr>
                <w:rFonts w:ascii="宋体" w:hAnsi="宋体" w:eastAsia="宋体"/>
                <w:sz w:val="16"/>
              </w:rPr>
              <w:t>=15人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938BF">
            <w:pPr>
              <w:jc w:val="center"/>
            </w:pPr>
            <w:r>
              <w:rPr>
                <w:rFonts w:ascii="宋体" w:hAnsi="宋体" w:eastAsia="宋体"/>
                <w:sz w:val="16"/>
              </w:rPr>
              <w:t>7</w:t>
            </w:r>
          </w:p>
        </w:tc>
      </w:tr>
      <w:tr w14:paraId="7EB6AC2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98FC4">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169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3A166">
            <w:pPr>
              <w:jc w:val="center"/>
            </w:pPr>
            <w:r>
              <w:rPr>
                <w:rFonts w:hint="eastAsia" w:ascii="宋体" w:hAnsi="宋体"/>
                <w:sz w:val="16"/>
                <w:lang w:eastAsia="zh-CN"/>
              </w:rPr>
              <w:t>入驻</w:t>
            </w:r>
            <w:r>
              <w:rPr>
                <w:rFonts w:ascii="宋体" w:hAnsi="宋体" w:eastAsia="宋体"/>
                <w:sz w:val="16"/>
              </w:rPr>
              <w:t>窗口单位数量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CFF3D">
            <w:pPr>
              <w:jc w:val="center"/>
            </w:pPr>
            <w:r>
              <w:rPr>
                <w:rFonts w:ascii="宋体" w:hAnsi="宋体" w:eastAsia="宋体"/>
                <w:sz w:val="16"/>
              </w:rPr>
              <w:t>&gt;=20户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C7610">
            <w:pPr>
              <w:jc w:val="center"/>
            </w:pPr>
            <w:r>
              <w:rPr>
                <w:rFonts w:ascii="宋体" w:hAnsi="宋体" w:eastAsia="宋体"/>
                <w:sz w:val="16"/>
              </w:rPr>
              <w:t>政务服务和公共资源交易管理局2023年工作总结及2024年工作计划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F282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3B397">
            <w:pPr>
              <w:jc w:val="center"/>
            </w:pPr>
            <w:r>
              <w:rPr>
                <w:rFonts w:ascii="宋体" w:hAnsi="宋体" w:eastAsia="宋体"/>
                <w:sz w:val="16"/>
              </w:rPr>
              <w:t>=20户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23856">
            <w:pPr>
              <w:jc w:val="center"/>
            </w:pPr>
            <w:r>
              <w:rPr>
                <w:rFonts w:ascii="宋体" w:hAnsi="宋体" w:eastAsia="宋体"/>
                <w:sz w:val="16"/>
              </w:rPr>
              <w:t>5</w:t>
            </w:r>
          </w:p>
        </w:tc>
      </w:tr>
      <w:tr w14:paraId="1A6A83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69F2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5A000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B8BB2">
            <w:pPr>
              <w:jc w:val="center"/>
            </w:pPr>
            <w:r>
              <w:rPr>
                <w:rFonts w:ascii="宋体" w:hAnsi="宋体" w:eastAsia="宋体"/>
                <w:sz w:val="16"/>
              </w:rPr>
              <w:t>专窗集中办件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AB866">
            <w:pPr>
              <w:jc w:val="center"/>
            </w:pPr>
            <w:r>
              <w:rPr>
                <w:rFonts w:ascii="宋体" w:hAnsi="宋体" w:eastAsia="宋体"/>
                <w:sz w:val="16"/>
              </w:rPr>
              <w:t>&gt;=563件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E3102">
            <w:pPr>
              <w:jc w:val="center"/>
            </w:pPr>
            <w:r>
              <w:rPr>
                <w:rFonts w:ascii="宋体" w:hAnsi="宋体" w:eastAsia="宋体"/>
                <w:sz w:val="16"/>
              </w:rPr>
              <w:t>政务服务和公共资源交易管理局2023年工作总结及2024年工作计划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ADE50">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38680">
            <w:pPr>
              <w:jc w:val="center"/>
            </w:pPr>
            <w:r>
              <w:rPr>
                <w:rFonts w:ascii="宋体" w:hAnsi="宋体" w:eastAsia="宋体"/>
                <w:sz w:val="16"/>
              </w:rPr>
              <w:t>=563件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78FAD">
            <w:pPr>
              <w:jc w:val="center"/>
            </w:pPr>
            <w:r>
              <w:rPr>
                <w:rFonts w:ascii="宋体" w:hAnsi="宋体" w:eastAsia="宋体"/>
                <w:sz w:val="16"/>
              </w:rPr>
              <w:t>15</w:t>
            </w:r>
          </w:p>
        </w:tc>
      </w:tr>
      <w:tr w14:paraId="39B0FF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6150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28ACB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3B53B">
            <w:pPr>
              <w:jc w:val="center"/>
            </w:pPr>
            <w:r>
              <w:rPr>
                <w:rFonts w:ascii="宋体" w:hAnsi="宋体" w:eastAsia="宋体"/>
                <w:sz w:val="16"/>
              </w:rPr>
              <w:t>线下办理企业开办“一件事一次办”</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D894E">
            <w:pPr>
              <w:jc w:val="center"/>
            </w:pPr>
            <w:r>
              <w:rPr>
                <w:rFonts w:ascii="宋体" w:hAnsi="宋体" w:eastAsia="宋体"/>
                <w:sz w:val="16"/>
              </w:rPr>
              <w:t>&gt;=35件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E58FA">
            <w:pPr>
              <w:jc w:val="center"/>
            </w:pPr>
            <w:r>
              <w:rPr>
                <w:rFonts w:ascii="宋体" w:hAnsi="宋体" w:eastAsia="宋体"/>
                <w:sz w:val="16"/>
              </w:rPr>
              <w:t>政务服务和公共资源交易管理局2023年工作总结及2024年工作计划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2625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A79BB">
            <w:pPr>
              <w:jc w:val="center"/>
            </w:pPr>
            <w:r>
              <w:rPr>
                <w:rFonts w:ascii="宋体" w:hAnsi="宋体" w:eastAsia="宋体"/>
                <w:sz w:val="16"/>
              </w:rPr>
              <w:t>=149件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28E1A">
            <w:pPr>
              <w:jc w:val="center"/>
            </w:pPr>
            <w:r>
              <w:rPr>
                <w:rFonts w:ascii="宋体" w:hAnsi="宋体" w:eastAsia="宋体"/>
                <w:sz w:val="16"/>
              </w:rPr>
              <w:t>6</w:t>
            </w:r>
          </w:p>
        </w:tc>
      </w:tr>
      <w:tr w14:paraId="7C54E7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3684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13F1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D16D4">
            <w:pPr>
              <w:jc w:val="center"/>
            </w:pPr>
            <w:r>
              <w:rPr>
                <w:rFonts w:ascii="宋体" w:hAnsi="宋体" w:eastAsia="宋体"/>
                <w:sz w:val="16"/>
              </w:rPr>
              <w:t>召开政务服务行风评议会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D7976">
            <w:pPr>
              <w:jc w:val="center"/>
            </w:pPr>
            <w:r>
              <w:rPr>
                <w:rFonts w:ascii="宋体" w:hAnsi="宋体" w:eastAsia="宋体"/>
                <w:sz w:val="16"/>
              </w:rPr>
              <w:t>&gt;=3次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A239E">
            <w:pPr>
              <w:jc w:val="center"/>
            </w:pPr>
            <w:r>
              <w:rPr>
                <w:rFonts w:ascii="宋体" w:hAnsi="宋体" w:eastAsia="宋体"/>
                <w:sz w:val="16"/>
              </w:rPr>
              <w:t>政务服务和公共资源交易管理局2023年工作总结及2024年工作计划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C35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3DE17C">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F15BB">
            <w:pPr>
              <w:jc w:val="center"/>
            </w:pPr>
            <w:r>
              <w:rPr>
                <w:rFonts w:ascii="宋体" w:hAnsi="宋体" w:eastAsia="宋体"/>
                <w:sz w:val="16"/>
              </w:rPr>
              <w:t>10</w:t>
            </w:r>
          </w:p>
        </w:tc>
      </w:tr>
      <w:tr w14:paraId="146CAD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69D9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0DCB4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3D38A">
            <w:pPr>
              <w:jc w:val="center"/>
            </w:pPr>
            <w:r>
              <w:rPr>
                <w:rFonts w:ascii="宋体" w:hAnsi="宋体" w:eastAsia="宋体"/>
                <w:sz w:val="16"/>
              </w:rPr>
              <w:t>帮办代办便民服务类业务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0C88B">
            <w:pPr>
              <w:jc w:val="center"/>
              <w:rPr>
                <w:rFonts w:hint="eastAsia" w:eastAsia="宋体"/>
                <w:lang w:val="en-US" w:eastAsia="zh-CN"/>
              </w:rPr>
            </w:pPr>
            <w:r>
              <w:rPr>
                <w:rFonts w:ascii="宋体" w:hAnsi="宋体" w:eastAsia="宋体"/>
                <w:sz w:val="16"/>
              </w:rPr>
              <w:t>&gt;=2010</w:t>
            </w:r>
            <w:r>
              <w:rPr>
                <w:rFonts w:hint="eastAsia" w:ascii="宋体" w:hAnsi="宋体"/>
                <w:sz w:val="16"/>
                <w:lang w:val="en-US" w:eastAsia="zh-CN"/>
              </w:rPr>
              <w:t>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21A0C">
            <w:pPr>
              <w:jc w:val="center"/>
            </w:pPr>
            <w:r>
              <w:rPr>
                <w:rFonts w:ascii="宋体" w:hAnsi="宋体" w:eastAsia="宋体"/>
                <w:sz w:val="16"/>
              </w:rPr>
              <w:t>政务服务和公共资源交易管理局2023年工作总结及2024年工作计划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CDB92">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B1962">
            <w:pPr>
              <w:jc w:val="center"/>
            </w:pPr>
            <w:r>
              <w:rPr>
                <w:rFonts w:ascii="宋体" w:hAnsi="宋体" w:eastAsia="宋体"/>
                <w:sz w:val="16"/>
              </w:rPr>
              <w:t>=2010件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70C14">
            <w:pPr>
              <w:jc w:val="center"/>
            </w:pPr>
            <w:r>
              <w:rPr>
                <w:rFonts w:ascii="宋体" w:hAnsi="宋体" w:eastAsia="宋体"/>
                <w:sz w:val="16"/>
              </w:rPr>
              <w:t>17</w:t>
            </w:r>
          </w:p>
        </w:tc>
      </w:tr>
      <w:tr w14:paraId="246CF5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CF00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9C7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E9F60">
            <w:pPr>
              <w:jc w:val="center"/>
            </w:pPr>
            <w:r>
              <w:rPr>
                <w:rFonts w:ascii="宋体" w:hAnsi="宋体" w:eastAsia="宋体"/>
                <w:sz w:val="16"/>
              </w:rPr>
              <w:t>开展延时办业务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E892A">
            <w:pPr>
              <w:jc w:val="center"/>
            </w:pPr>
            <w:r>
              <w:rPr>
                <w:rFonts w:ascii="宋体" w:hAnsi="宋体" w:eastAsia="宋体"/>
                <w:sz w:val="16"/>
              </w:rPr>
              <w:t>&gt;=108件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5F703">
            <w:pPr>
              <w:jc w:val="center"/>
            </w:pPr>
            <w:r>
              <w:rPr>
                <w:rFonts w:ascii="宋体" w:hAnsi="宋体" w:eastAsia="宋体"/>
                <w:sz w:val="16"/>
              </w:rPr>
              <w:t>政务服务和公共资源交易管理局2023年工作总结及2024年工作计划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F849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9DAFD">
            <w:pPr>
              <w:jc w:val="center"/>
            </w:pPr>
            <w:r>
              <w:rPr>
                <w:rFonts w:ascii="宋体" w:hAnsi="宋体" w:eastAsia="宋体"/>
                <w:sz w:val="16"/>
              </w:rPr>
              <w:t>=108件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EC50A">
            <w:pPr>
              <w:jc w:val="center"/>
            </w:pPr>
            <w:r>
              <w:rPr>
                <w:rFonts w:ascii="宋体" w:hAnsi="宋体" w:eastAsia="宋体"/>
                <w:sz w:val="16"/>
              </w:rPr>
              <w:t>15</w:t>
            </w:r>
          </w:p>
        </w:tc>
      </w:tr>
      <w:tr w14:paraId="00BD98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F52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673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E0C63">
            <w:pPr>
              <w:jc w:val="center"/>
            </w:pPr>
            <w:r>
              <w:rPr>
                <w:rFonts w:ascii="宋体" w:hAnsi="宋体" w:eastAsia="宋体"/>
                <w:sz w:val="16"/>
              </w:rPr>
              <w:t>特殊群体上门</w:t>
            </w:r>
            <w:r>
              <w:rPr>
                <w:rFonts w:hint="eastAsia" w:ascii="宋体" w:hAnsi="宋体"/>
                <w:sz w:val="16"/>
                <w:lang w:eastAsia="zh-CN"/>
              </w:rPr>
              <w:t>办理</w:t>
            </w:r>
            <w:r>
              <w:rPr>
                <w:rFonts w:ascii="宋体" w:hAnsi="宋体" w:eastAsia="宋体"/>
                <w:sz w:val="16"/>
              </w:rPr>
              <w:t>相关业务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121AA">
            <w:pPr>
              <w:jc w:val="center"/>
            </w:pPr>
            <w:r>
              <w:rPr>
                <w:rFonts w:ascii="宋体" w:hAnsi="宋体" w:eastAsia="宋体"/>
                <w:sz w:val="16"/>
              </w:rPr>
              <w:t>&gt;=56件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A5991">
            <w:pPr>
              <w:jc w:val="center"/>
            </w:pPr>
            <w:r>
              <w:rPr>
                <w:rFonts w:ascii="宋体" w:hAnsi="宋体" w:eastAsia="宋体"/>
                <w:sz w:val="16"/>
              </w:rPr>
              <w:t>政务服务和公共资源交易管理局2023年工作总结及2024年工作计划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E136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C8109">
            <w:pPr>
              <w:jc w:val="center"/>
            </w:pPr>
            <w:r>
              <w:rPr>
                <w:rFonts w:ascii="宋体" w:hAnsi="宋体" w:eastAsia="宋体"/>
                <w:sz w:val="16"/>
              </w:rPr>
              <w:t>=56件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07500">
            <w:pPr>
              <w:jc w:val="center"/>
            </w:pPr>
            <w:r>
              <w:rPr>
                <w:rFonts w:ascii="宋体" w:hAnsi="宋体" w:eastAsia="宋体"/>
                <w:sz w:val="16"/>
              </w:rPr>
              <w:t>7</w:t>
            </w:r>
          </w:p>
        </w:tc>
      </w:tr>
    </w:tbl>
    <w:p w14:paraId="0E8C731B">
      <w:r>
        <w:br w:type="page"/>
      </w:r>
    </w:p>
    <w:p w14:paraId="5C232696">
      <w:pPr>
        <w:spacing w:line="640" w:lineRule="exact"/>
        <w:ind w:firstLine="640"/>
        <w:jc w:val="both"/>
        <w:outlineLvl w:val="2"/>
      </w:pPr>
      <w:r>
        <w:rPr>
          <w:rFonts w:ascii="黑体" w:hAnsi="黑体" w:eastAsia="黑体"/>
          <w:sz w:val="32"/>
        </w:rPr>
        <w:t>十二、其他需说明的事项</w:t>
      </w:r>
    </w:p>
    <w:p w14:paraId="5435B64F">
      <w:pPr>
        <w:spacing w:line="580" w:lineRule="exact"/>
        <w:ind w:firstLine="640"/>
        <w:jc w:val="both"/>
      </w:pPr>
      <w:r>
        <w:rPr>
          <w:rFonts w:ascii="仿宋_GB2312" w:hAnsi="仿宋_GB2312" w:eastAsia="仿宋_GB2312"/>
          <w:b w:val="0"/>
          <w:sz w:val="32"/>
        </w:rPr>
        <w:t>本单位无其他需说明的事项。</w:t>
      </w:r>
    </w:p>
    <w:p w14:paraId="3D87E245">
      <w:r>
        <w:br w:type="page"/>
      </w:r>
    </w:p>
    <w:p w14:paraId="717B2702">
      <w:pPr>
        <w:spacing w:line="240" w:lineRule="auto"/>
        <w:jc w:val="center"/>
        <w:outlineLvl w:val="1"/>
      </w:pPr>
      <w:r>
        <w:rPr>
          <w:rFonts w:ascii="黑体" w:hAnsi="黑体" w:eastAsia="黑体"/>
          <w:sz w:val="32"/>
        </w:rPr>
        <w:t>第三部分 专业名词解释</w:t>
      </w:r>
    </w:p>
    <w:p w14:paraId="50D7DB0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A4A5D9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767E81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A98E6E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1C6D3A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798D88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5A0E55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34209D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364DF3">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7EFDA8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ADE9B9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68BC9B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9EB5CDA">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1C672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5E14129">
      <w:r>
        <w:br w:type="page"/>
      </w:r>
    </w:p>
    <w:p w14:paraId="7F33D918">
      <w:pPr>
        <w:spacing w:line="240" w:lineRule="auto"/>
        <w:jc w:val="center"/>
        <w:outlineLvl w:val="1"/>
      </w:pPr>
      <w:r>
        <w:rPr>
          <w:rFonts w:ascii="黑体" w:hAnsi="黑体" w:eastAsia="黑体"/>
          <w:sz w:val="32"/>
        </w:rPr>
        <w:t>第四部分 部门决算报表（见附表）</w:t>
      </w:r>
    </w:p>
    <w:p w14:paraId="7D4CB072">
      <w:pPr>
        <w:spacing w:line="240" w:lineRule="auto"/>
        <w:ind w:firstLine="640"/>
        <w:jc w:val="both"/>
      </w:pPr>
      <w:r>
        <w:rPr>
          <w:rFonts w:ascii="仿宋_GB2312" w:hAnsi="仿宋_GB2312" w:eastAsia="仿宋_GB2312"/>
          <w:b w:val="0"/>
          <w:sz w:val="32"/>
        </w:rPr>
        <w:t>一、《收入支出决算总表》</w:t>
      </w:r>
    </w:p>
    <w:p w14:paraId="27215B40">
      <w:pPr>
        <w:spacing w:line="240" w:lineRule="auto"/>
        <w:ind w:firstLine="640"/>
        <w:jc w:val="both"/>
      </w:pPr>
      <w:r>
        <w:rPr>
          <w:rFonts w:ascii="仿宋_GB2312" w:hAnsi="仿宋_GB2312" w:eastAsia="仿宋_GB2312"/>
          <w:b w:val="0"/>
          <w:sz w:val="32"/>
        </w:rPr>
        <w:t>二、《收入决算表》</w:t>
      </w:r>
    </w:p>
    <w:p w14:paraId="3502C1ED">
      <w:pPr>
        <w:spacing w:line="240" w:lineRule="auto"/>
        <w:ind w:firstLine="640"/>
        <w:jc w:val="both"/>
      </w:pPr>
      <w:r>
        <w:rPr>
          <w:rFonts w:ascii="仿宋_GB2312" w:hAnsi="仿宋_GB2312" w:eastAsia="仿宋_GB2312"/>
          <w:b w:val="0"/>
          <w:sz w:val="32"/>
        </w:rPr>
        <w:t>三、《支出决算表》</w:t>
      </w:r>
    </w:p>
    <w:p w14:paraId="22E1138D">
      <w:pPr>
        <w:spacing w:line="240" w:lineRule="auto"/>
        <w:ind w:firstLine="640"/>
        <w:jc w:val="both"/>
      </w:pPr>
      <w:r>
        <w:rPr>
          <w:rFonts w:ascii="仿宋_GB2312" w:hAnsi="仿宋_GB2312" w:eastAsia="仿宋_GB2312"/>
          <w:b w:val="0"/>
          <w:sz w:val="32"/>
        </w:rPr>
        <w:t>四、《财政拨款收入支出决算总表》</w:t>
      </w:r>
    </w:p>
    <w:p w14:paraId="1F3BBA6B">
      <w:pPr>
        <w:spacing w:line="240" w:lineRule="auto"/>
        <w:ind w:firstLine="640"/>
        <w:jc w:val="both"/>
      </w:pPr>
      <w:r>
        <w:rPr>
          <w:rFonts w:ascii="仿宋_GB2312" w:hAnsi="仿宋_GB2312" w:eastAsia="仿宋_GB2312"/>
          <w:b w:val="0"/>
          <w:sz w:val="32"/>
        </w:rPr>
        <w:t>五、《一般公共预算财政拨款支出决算表》</w:t>
      </w:r>
    </w:p>
    <w:p w14:paraId="4E4EDCD8">
      <w:pPr>
        <w:spacing w:line="240" w:lineRule="auto"/>
        <w:ind w:firstLine="640"/>
        <w:jc w:val="both"/>
      </w:pPr>
      <w:r>
        <w:rPr>
          <w:rFonts w:ascii="仿宋_GB2312" w:hAnsi="仿宋_GB2312" w:eastAsia="仿宋_GB2312"/>
          <w:b w:val="0"/>
          <w:sz w:val="32"/>
        </w:rPr>
        <w:t>六、《一般公共预算财政拨款基本支出决算表》</w:t>
      </w:r>
    </w:p>
    <w:p w14:paraId="6FE33FB7">
      <w:pPr>
        <w:spacing w:line="240" w:lineRule="auto"/>
        <w:ind w:firstLine="640"/>
        <w:jc w:val="both"/>
      </w:pPr>
      <w:r>
        <w:rPr>
          <w:rFonts w:ascii="仿宋_GB2312" w:hAnsi="仿宋_GB2312" w:eastAsia="仿宋_GB2312"/>
          <w:b w:val="0"/>
          <w:sz w:val="32"/>
        </w:rPr>
        <w:t>七、《政府性基金预算财政拨款收入支出决算表》</w:t>
      </w:r>
    </w:p>
    <w:p w14:paraId="50215667">
      <w:pPr>
        <w:spacing w:line="240" w:lineRule="auto"/>
        <w:ind w:firstLine="640"/>
        <w:jc w:val="both"/>
      </w:pPr>
      <w:r>
        <w:rPr>
          <w:rFonts w:ascii="仿宋_GB2312" w:hAnsi="仿宋_GB2312" w:eastAsia="仿宋_GB2312"/>
          <w:b w:val="0"/>
          <w:sz w:val="32"/>
        </w:rPr>
        <w:t>八、《国有资本经营预算财政拨款收入支出决算表》</w:t>
      </w:r>
    </w:p>
    <w:p w14:paraId="4F614751">
      <w:pPr>
        <w:spacing w:line="240" w:lineRule="auto"/>
        <w:ind w:firstLine="640"/>
        <w:jc w:val="both"/>
      </w:pPr>
      <w:r>
        <w:rPr>
          <w:rFonts w:ascii="仿宋_GB2312" w:hAnsi="仿宋_GB2312" w:eastAsia="仿宋_GB2312"/>
          <w:b w:val="0"/>
          <w:sz w:val="32"/>
        </w:rPr>
        <w:t>九、《财政拨款“三公”经费支出决算表》</w:t>
      </w:r>
    </w:p>
    <w:p w14:paraId="411CBECA">
      <w:pPr>
        <w:spacing w:line="240" w:lineRule="auto"/>
        <w:ind w:firstLine="640"/>
        <w:jc w:val="both"/>
      </w:pPr>
    </w:p>
    <w:p w14:paraId="2D006304">
      <w:pPr>
        <w:spacing w:line="240" w:lineRule="auto"/>
        <w:ind w:firstLine="640"/>
        <w:jc w:val="both"/>
      </w:pPr>
    </w:p>
    <w:p w14:paraId="364467EE">
      <w:pPr>
        <w:spacing w:line="240" w:lineRule="auto"/>
        <w:ind w:firstLine="640"/>
        <w:jc w:val="both"/>
      </w:pPr>
    </w:p>
    <w:p w14:paraId="6E4B4856">
      <w:pPr>
        <w:spacing w:line="240" w:lineRule="auto"/>
        <w:ind w:firstLine="640"/>
        <w:jc w:val="both"/>
      </w:pPr>
    </w:p>
    <w:p w14:paraId="3E75CAE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19ED0A9-57FE-4DFB-B155-BC924BC776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F78C6F6-44C5-4104-B8CC-1091A15D11F4}"/>
  </w:font>
  <w:font w:name="仿宋_GB2312">
    <w:panose1 w:val="02010609030101010101"/>
    <w:charset w:val="86"/>
    <w:family w:val="modern"/>
    <w:pitch w:val="default"/>
    <w:sig w:usb0="00000001" w:usb1="080E0000" w:usb2="00000000" w:usb3="00000000" w:csb0="00040000" w:csb1="00000000"/>
    <w:embedRegular r:id="rId3" w:fontKey="{E7D782E2-77FA-4E0A-968A-168638980693}"/>
  </w:font>
  <w:font w:name="楷体_GB2312">
    <w:panose1 w:val="02010609030101010101"/>
    <w:charset w:val="86"/>
    <w:family w:val="auto"/>
    <w:pitch w:val="default"/>
    <w:sig w:usb0="00000001" w:usb1="080E0000" w:usb2="00000000" w:usb3="00000000" w:csb0="00040000" w:csb1="00000000"/>
    <w:embedRegular r:id="rId4" w:fontKey="{FB3CED1A-6EBB-467C-8956-27E9446314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42661AF"/>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4D4B4B"/>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6602</Words>
  <Characters>7437</Characters>
  <Lines>0</Lines>
  <Paragraphs>0</Paragraphs>
  <TotalTime>6</TotalTime>
  <ScaleCrop>false</ScaleCrop>
  <LinksUpToDate>false</LinksUpToDate>
  <CharactersWithSpaces>7447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